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C7B8C" w14:textId="77777777" w:rsidR="00CC1130" w:rsidRDefault="00CC1130" w:rsidP="00CC1130">
      <w:pPr>
        <w:pStyle w:val="Title"/>
      </w:pPr>
    </w:p>
    <w:p w14:paraId="58A52B25" w14:textId="5F8BCF0A" w:rsidR="00CC1130" w:rsidRDefault="008E5C27" w:rsidP="00CC1130">
      <w:pPr>
        <w:pStyle w:val="Title"/>
      </w:pPr>
      <w:r>
        <w:t xml:space="preserve">                               </w:t>
      </w:r>
      <w:r>
        <w:rPr>
          <w:noProof/>
        </w:rPr>
        <w:drawing>
          <wp:inline distT="0" distB="0" distL="0" distR="0" wp14:anchorId="60BE3428" wp14:editId="544858B8">
            <wp:extent cx="1752600" cy="1595063"/>
            <wp:effectExtent l="0" t="0" r="0" b="0"/>
            <wp:docPr id="17857211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609" cy="15987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967FCB" w14:textId="77777777" w:rsidR="00CC1130" w:rsidRDefault="00CC1130" w:rsidP="00CC1130">
      <w:pPr>
        <w:pStyle w:val="Title"/>
      </w:pPr>
    </w:p>
    <w:p w14:paraId="46258810" w14:textId="7A7E173B" w:rsidR="00CC1130" w:rsidRPr="00D75709" w:rsidRDefault="00CC1130" w:rsidP="00CC1130">
      <w:pPr>
        <w:pStyle w:val="Title"/>
        <w:rPr>
          <w:rFonts w:ascii="Times New Roman" w:hAnsi="Times New Roman" w:cs="Times New Roman"/>
          <w:b/>
          <w:bCs/>
          <w:sz w:val="24"/>
          <w:szCs w:val="24"/>
        </w:rPr>
      </w:pPr>
      <w:r w:rsidRPr="00D75709">
        <w:rPr>
          <w:rFonts w:ascii="Times New Roman" w:hAnsi="Times New Roman" w:cs="Times New Roman"/>
          <w:b/>
          <w:bCs/>
          <w:sz w:val="24"/>
          <w:szCs w:val="24"/>
        </w:rPr>
        <w:t>Raporti Vjetor i Analizës së Cilësisë dhe Performancës</w:t>
      </w:r>
    </w:p>
    <w:p w14:paraId="28E1B571" w14:textId="77777777" w:rsidR="00CC1130" w:rsidRPr="00D75709" w:rsidRDefault="00CC1130" w:rsidP="00CC113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5709">
        <w:rPr>
          <w:rFonts w:ascii="Times New Roman" w:hAnsi="Times New Roman" w:cs="Times New Roman"/>
          <w:b/>
          <w:bCs/>
          <w:sz w:val="24"/>
          <w:szCs w:val="24"/>
        </w:rPr>
        <w:t>Bachelor i Shkencave në Psikologji, Fakulteti i Psikologjisë – Kolegji UBT</w:t>
      </w:r>
    </w:p>
    <w:p w14:paraId="2CFEA8E6" w14:textId="77777777" w:rsidR="00170D04" w:rsidRDefault="00CC1130" w:rsidP="00170D0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5709">
        <w:rPr>
          <w:rFonts w:ascii="Times New Roman" w:hAnsi="Times New Roman" w:cs="Times New Roman"/>
          <w:b/>
          <w:bCs/>
          <w:sz w:val="24"/>
          <w:szCs w:val="24"/>
        </w:rPr>
        <w:t>Viti Akademik 2024–2025</w:t>
      </w:r>
    </w:p>
    <w:p w14:paraId="22FC95E1" w14:textId="08C948E8" w:rsidR="00CC1130" w:rsidRPr="00D75709" w:rsidRDefault="00CC1130" w:rsidP="00170D0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5709">
        <w:rPr>
          <w:rFonts w:ascii="Times New Roman" w:hAnsi="Times New Roman" w:cs="Times New Roman"/>
          <w:b/>
          <w:bCs/>
          <w:sz w:val="24"/>
          <w:szCs w:val="24"/>
        </w:rPr>
        <w:t>1. Hyrje</w:t>
      </w:r>
    </w:p>
    <w:p w14:paraId="4F0E9F3F" w14:textId="713D66AD" w:rsidR="00CC1130" w:rsidRPr="00462FB7" w:rsidRDefault="00D75709" w:rsidP="00CC11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Ky raport ofron një analizë të detajuar të treguesve kryesorë të performancës (KPI) për programin Bachelor i Shkencave (BSc) në Psikologji në Kolegjin UBT. Struktura përputhet me formatin e përshkruar në Raportin Vjetor të Cilësisë 2024–2025, duke integruar metrikat, standardet dhe komentet specifike nga Raporti i Vetëvlerësimit të Fakultetit.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Qëllimi i kësaj analize është të vlerësojë performancën e programit kundrejt standardeve të cilësisë institucionale, të nxjerrë në pah pikat e forta, të përcaktojë fushat për përmirësim dhe të ofrojë rekomandime praktike për të përmirësuar mësimdhënien, të nxënit, kërkimin dhe kënaqësinë e studentëve.</w:t>
      </w:r>
    </w:p>
    <w:p w14:paraId="7F000ACD" w14:textId="77777777" w:rsidR="00CC1130" w:rsidRPr="00D75709" w:rsidRDefault="00CC1130" w:rsidP="00CC1130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D75709">
        <w:rPr>
          <w:rFonts w:ascii="Times New Roman" w:hAnsi="Times New Roman" w:cs="Times New Roman"/>
          <w:b/>
          <w:bCs/>
          <w:color w:val="auto"/>
          <w:sz w:val="24"/>
          <w:szCs w:val="24"/>
        </w:rPr>
        <w:t>2. Mësimdhënia dhe të nxënit</w:t>
      </w:r>
    </w:p>
    <w:p w14:paraId="1F9205FE" w14:textId="77777777" w:rsidR="00462FB7" w:rsidRPr="00FB4AFA" w:rsidRDefault="00462FB7" w:rsidP="00462FB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FB4AFA">
        <w:rPr>
          <w:rFonts w:ascii="Times New Roman" w:eastAsia="Times New Roman" w:hAnsi="Times New Roman" w:cs="Times New Roman"/>
          <w:sz w:val="24"/>
          <w:szCs w:val="24"/>
        </w:rPr>
        <w:t>Analiza e Rezultateve të Kënaqësisë së Studentëve (sipas Vitit Akademik)</w:t>
      </w:r>
    </w:p>
    <w:p w14:paraId="3FFC993F" w14:textId="6EE0D197" w:rsidR="00462FB7" w:rsidRPr="00FB4AFA" w:rsidRDefault="00462FB7" w:rsidP="00462F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4AFA">
        <w:rPr>
          <w:rFonts w:ascii="Times New Roman" w:eastAsia="Times New Roman" w:hAnsi="Times New Roman" w:cs="Times New Roman"/>
          <w:sz w:val="24"/>
          <w:szCs w:val="24"/>
        </w:rPr>
        <w:t>Studentët e vitit të parë në përgjithësi shprehin kënaqësi të lartë, veçanërisht në lidhje me qartësinë e detyrimeve (4.12/5) dhe vlerësimin e vazhdueshëm (4.55/5), duke treguar se metodat e vlerësimit shihen si të drejta dhe transparente. Megjithatë, disa fusha kanë nevojë për përmirësim - si qartësia e shpjegimeve (4.2/5) ashtu edhe disponueshmëria e materialeve studimore (4.2/5) morën rezultate pak më të ulëta, duke treguar nevojën për të përmirësuar mbështetjen mësimore dhe aksesin në burimet e të nxënit.</w:t>
      </w:r>
    </w:p>
    <w:p w14:paraId="588FD3A9" w14:textId="07AAC816" w:rsidR="00462FB7" w:rsidRPr="00FB4AFA" w:rsidRDefault="00FB4AFA" w:rsidP="00462F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Studentët e vitit të dytë japin reagime të përziera. Saktësia (4.3/5) vlerësohet shumë, duke reflektuar kurse të organizuara mirë. Megjithatë, rezultatet e ndërveprimit (rreth 4.1/5) dhe vlerësimit të vazhdueshëm (3.9/5) tregojnë një rënie në angazhimin e studentëve dhe perceptimet e drejtësisë </w:t>
      </w:r>
      <w:r w:rsidR="00E5100C">
        <w:rPr>
          <w:rFonts w:ascii="Times New Roman" w:eastAsia="Times New Roman" w:hAnsi="Times New Roman" w:cs="Times New Roman"/>
          <w:sz w:val="24"/>
          <w:szCs w:val="24"/>
        </w:rPr>
        <w:t xml:space="preserve">në vlerësim </w:t>
      </w:r>
      <w:r>
        <w:rPr>
          <w:rFonts w:ascii="Times New Roman" w:eastAsia="Times New Roman" w:hAnsi="Times New Roman" w:cs="Times New Roman"/>
          <w:sz w:val="24"/>
          <w:szCs w:val="24"/>
        </w:rPr>
        <w:t>ose dobisë së vlerësimeve të vazhdueshme. Futja e më shumë aktiviteteve të të nxënit bashkëpunues dhe pjesëmarrës mund të ndihmojë në përmirësimin e këtyre fushave.</w:t>
      </w:r>
    </w:p>
    <w:p w14:paraId="20B7E911" w14:textId="5656D76D" w:rsidR="00462FB7" w:rsidRPr="00FB4AFA" w:rsidRDefault="00FB4AFA" w:rsidP="00462F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Studentët e Vitit të 3-të: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Studentët e vitit të tretë raportojnë kënaqësinë më të lartë të përgjithshme, veçanërisht duke shkëlqyer në materialet e studimit (4.6/5) dhe qartësinë e detyrimeve (4.5/5). Kjo tregon se, deri në vitin e tyre të fundit, studentët kanë përmirësuar aksesin në burime dhe një kuptim më të qartë të pritjeve akademike. Gjetjet tregojnë se përvoja arsimore bëhet më e organizuar dhe efektive ndërsa studentët përparojnë.</w:t>
      </w:r>
    </w:p>
    <w:p w14:paraId="4A74EF84" w14:textId="795EA556" w:rsidR="00462FB7" w:rsidRPr="00FB4AFA" w:rsidRDefault="00462FB7" w:rsidP="00462F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FED647" w14:textId="77777777" w:rsidR="00462FB7" w:rsidRPr="00FB4AFA" w:rsidRDefault="00462FB7" w:rsidP="00462FB7">
      <w:pPr>
        <w:rPr>
          <w:rFonts w:ascii="Times New Roman" w:hAnsi="Times New Roman" w:cs="Times New Roman"/>
          <w:sz w:val="24"/>
          <w:szCs w:val="24"/>
        </w:rPr>
      </w:pPr>
    </w:p>
    <w:p w14:paraId="3FAB4F49" w14:textId="600B3E9D" w:rsidR="00CC1130" w:rsidRPr="00FB4AFA" w:rsidRDefault="00CC1130" w:rsidP="00CC1130">
      <w:pPr>
        <w:rPr>
          <w:rFonts w:ascii="Times New Roman" w:hAnsi="Times New Roman" w:cs="Times New Roman"/>
          <w:sz w:val="24"/>
          <w:szCs w:val="24"/>
        </w:rPr>
      </w:pPr>
      <w:r w:rsidRPr="00FB4AFA">
        <w:rPr>
          <w:rFonts w:ascii="Times New Roman" w:hAnsi="Times New Roman" w:cs="Times New Roman"/>
          <w:sz w:val="24"/>
          <w:szCs w:val="24"/>
        </w:rPr>
        <w:br/>
      </w:r>
      <w:r w:rsidRPr="00D75709">
        <w:rPr>
          <w:rFonts w:ascii="Times New Roman" w:hAnsi="Times New Roman" w:cs="Times New Roman"/>
          <w:b/>
          <w:bCs/>
          <w:sz w:val="24"/>
          <w:szCs w:val="24"/>
        </w:rPr>
        <w:t xml:space="preserve">Gjetjet e Vlerësimit të Brendshëm </w:t>
      </w:r>
      <w:r w:rsidRPr="00D75709">
        <w:rPr>
          <w:rFonts w:ascii="Times New Roman" w:hAnsi="Times New Roman" w:cs="Times New Roman"/>
          <w:sz w:val="24"/>
          <w:szCs w:val="24"/>
        </w:rPr>
        <w:br/>
      </w:r>
      <w:r w:rsidRPr="00FB4AFA">
        <w:rPr>
          <w:rFonts w:ascii="Times New Roman" w:hAnsi="Times New Roman" w:cs="Times New Roman"/>
          <w:sz w:val="24"/>
          <w:szCs w:val="24"/>
        </w:rPr>
        <w:t xml:space="preserve">- Kurrikula: Progres logjik i kursit (9/10), mbulim i fortë i disiplinave kryesore (9/10) dhe përputhshmëri me misionin institucional (9/10). </w:t>
      </w:r>
      <w:r w:rsidRPr="00FB4AFA">
        <w:rPr>
          <w:rFonts w:ascii="Times New Roman" w:hAnsi="Times New Roman" w:cs="Times New Roman"/>
          <w:sz w:val="24"/>
          <w:szCs w:val="24"/>
        </w:rPr>
        <w:br/>
        <w:t xml:space="preserve">- Cilësia e Mësimdhënies: Përdorimi i metodave të ndryshme pedagogjike u vlerësua me 8/10; mësimi interaktiv dhe i bazuar në kërkim ishte më pak konsistent (7/10). - Praktikat e Vlerësimit: Rezultatet e të nxënit të hartuara qartë (9/10); besueshmëria e vlerësimit u sigurua përmes moderimit (8/10); sistemi i apelimit të studentëve është funksional (8/10). </w:t>
      </w:r>
      <w:r w:rsidRPr="00FB4AFA">
        <w:rPr>
          <w:rFonts w:ascii="Times New Roman" w:hAnsi="Times New Roman" w:cs="Times New Roman"/>
          <w:sz w:val="24"/>
          <w:szCs w:val="24"/>
        </w:rPr>
        <w:br/>
      </w:r>
      <w:r w:rsidRPr="00FB4AFA">
        <w:rPr>
          <w:rFonts w:ascii="Times New Roman" w:hAnsi="Times New Roman" w:cs="Times New Roman"/>
          <w:sz w:val="24"/>
          <w:szCs w:val="24"/>
        </w:rPr>
        <w:br/>
        <w:t xml:space="preserve">Informacione Kryesore - </w:t>
      </w:r>
      <w:r w:rsidR="00543F28">
        <w:rPr>
          <w:rFonts w:ascii="Times New Roman" w:hAnsi="Times New Roman" w:cs="Times New Roman"/>
          <w:sz w:val="24"/>
          <w:szCs w:val="24"/>
        </w:rPr>
        <w:t xml:space="preserve">Për të ruajtur kënaqësinë e studentëve gjatë viteve të studimit </w:t>
      </w:r>
      <w:r w:rsidRPr="00FB4AFA">
        <w:rPr>
          <w:rFonts w:ascii="Times New Roman" w:hAnsi="Times New Roman" w:cs="Times New Roman"/>
          <w:sz w:val="24"/>
          <w:szCs w:val="24"/>
        </w:rPr>
        <w:br/>
        <w:t xml:space="preserve">- Ndërveprimi dhe disponueshmëria e materialeve </w:t>
      </w:r>
      <w:r w:rsidR="00543F28">
        <w:rPr>
          <w:rFonts w:ascii="Times New Roman" w:hAnsi="Times New Roman" w:cs="Times New Roman"/>
          <w:sz w:val="24"/>
          <w:szCs w:val="24"/>
        </w:rPr>
        <w:t xml:space="preserve">duhet të jenë në fokus. </w:t>
      </w:r>
      <w:r w:rsidRPr="00FB4AFA">
        <w:rPr>
          <w:rFonts w:ascii="Times New Roman" w:hAnsi="Times New Roman" w:cs="Times New Roman"/>
          <w:sz w:val="24"/>
          <w:szCs w:val="24"/>
        </w:rPr>
        <w:br/>
        <w:t>- Vetëvlerësimi institucional konfirmon një dizajn të fortë kurrikular, por thekson nevojën për mësimdhënie më të përqendruar te studenti dhe mekanizma të përmirësuar të reagimit.</w:t>
      </w:r>
    </w:p>
    <w:p w14:paraId="2A0D8441" w14:textId="77777777" w:rsidR="00CC1130" w:rsidRPr="00D75709" w:rsidRDefault="00CC1130" w:rsidP="00CC1130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D75709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Pr="00D75709">
        <w:rPr>
          <w:rFonts w:ascii="Times New Roman" w:hAnsi="Times New Roman" w:cs="Times New Roman"/>
          <w:b/>
          <w:bCs/>
          <w:color w:val="auto"/>
          <w:sz w:val="24"/>
          <w:szCs w:val="24"/>
        </w:rPr>
        <w:t>Kërkimi Shkencor, Inovacioni dhe Puna Kreative</w:t>
      </w:r>
    </w:p>
    <w:p w14:paraId="63977832" w14:textId="77777777" w:rsidR="00CC1130" w:rsidRPr="00FB4AFA" w:rsidRDefault="00CC1130" w:rsidP="00CC1130">
      <w:pPr>
        <w:rPr>
          <w:rFonts w:ascii="Times New Roman" w:hAnsi="Times New Roman" w:cs="Times New Roman"/>
          <w:sz w:val="24"/>
          <w:szCs w:val="24"/>
        </w:rPr>
      </w:pPr>
      <w:r w:rsidRPr="00FB4AFA">
        <w:rPr>
          <w:rFonts w:ascii="Times New Roman" w:hAnsi="Times New Roman" w:cs="Times New Roman"/>
          <w:sz w:val="24"/>
          <w:szCs w:val="24"/>
        </w:rPr>
        <w:t xml:space="preserve">- Përputhja e Kërkimit: Objektivat e fakultetit pasqyrojnë fuqimisht strategjinë institucionale (9/10). </w:t>
      </w:r>
      <w:r w:rsidRPr="00FB4AFA">
        <w:rPr>
          <w:rFonts w:ascii="Times New Roman" w:hAnsi="Times New Roman" w:cs="Times New Roman"/>
          <w:sz w:val="24"/>
          <w:szCs w:val="24"/>
        </w:rPr>
        <w:br/>
        <w:t xml:space="preserve">- Rezultatet e Kërkimit të Stafit: Publikime të shpeshta (8/10), rezultate të larmishme duke përfshirë projekte komunitare (9/10). - Integrimi me Mësimdhënien: Rezultatet e kërkimit integrohen gjithnjë e më shumë në kurse (8/10), megjithëse përfshirja e studentëve është e paqëndrueshme. </w:t>
      </w:r>
      <w:r w:rsidRPr="00FB4AFA">
        <w:rPr>
          <w:rFonts w:ascii="Times New Roman" w:hAnsi="Times New Roman" w:cs="Times New Roman"/>
          <w:sz w:val="24"/>
          <w:szCs w:val="24"/>
        </w:rPr>
        <w:br/>
      </w:r>
      <w:r w:rsidRPr="00FB4AFA">
        <w:rPr>
          <w:rFonts w:ascii="Times New Roman" w:hAnsi="Times New Roman" w:cs="Times New Roman"/>
          <w:sz w:val="24"/>
          <w:szCs w:val="24"/>
        </w:rPr>
        <w:br/>
        <w:t xml:space="preserve">Vëzhgim: Ndërsa cilësia e kërkimit të fakultetit është e fortë, ekzistojnë mundësi për të </w:t>
      </w:r>
      <w:r w:rsidRPr="00FB4AFA">
        <w:rPr>
          <w:rFonts w:ascii="Times New Roman" w:hAnsi="Times New Roman" w:cs="Times New Roman"/>
          <w:sz w:val="24"/>
          <w:szCs w:val="24"/>
        </w:rPr>
        <w:lastRenderedPageBreak/>
        <w:t>zgjeruar bashkëpunimin me industrinë dhe për të rritur pjesëmarrjen e studentëve në projekte kërkimore.</w:t>
      </w:r>
    </w:p>
    <w:p w14:paraId="44EAF40D" w14:textId="77777777" w:rsidR="00CC1130" w:rsidRPr="00D75709" w:rsidRDefault="00CC1130" w:rsidP="00CC1130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D75709">
        <w:rPr>
          <w:rFonts w:ascii="Times New Roman" w:hAnsi="Times New Roman" w:cs="Times New Roman"/>
          <w:b/>
          <w:bCs/>
          <w:color w:val="auto"/>
          <w:sz w:val="24"/>
          <w:szCs w:val="24"/>
        </w:rPr>
        <w:t>4. Mjedisi i Punës dhe i Mësimit</w:t>
      </w:r>
    </w:p>
    <w:p w14:paraId="04A1610E" w14:textId="77777777" w:rsidR="00CC1130" w:rsidRPr="00FB4AFA" w:rsidRDefault="00CC1130" w:rsidP="00CC1130">
      <w:pPr>
        <w:rPr>
          <w:rFonts w:ascii="Times New Roman" w:hAnsi="Times New Roman" w:cs="Times New Roman"/>
          <w:sz w:val="24"/>
          <w:szCs w:val="24"/>
        </w:rPr>
      </w:pPr>
      <w:r w:rsidRPr="00FB4AFA">
        <w:rPr>
          <w:rFonts w:ascii="Times New Roman" w:hAnsi="Times New Roman" w:cs="Times New Roman"/>
          <w:sz w:val="24"/>
          <w:szCs w:val="24"/>
        </w:rPr>
        <w:t xml:space="preserve">- Infrastruktura: Ambientet dhe pajisjet janë vlerësuar me 8/10; laboratorët e IT-së dhe softuerët e licencuar janë të përditësuar (9/10). </w:t>
      </w:r>
      <w:r w:rsidRPr="00FB4AFA">
        <w:rPr>
          <w:rFonts w:ascii="Times New Roman" w:hAnsi="Times New Roman" w:cs="Times New Roman"/>
          <w:sz w:val="24"/>
          <w:szCs w:val="24"/>
        </w:rPr>
        <w:br/>
        <w:t xml:space="preserve">- Burimet e bibliotekës: Të mjaftueshme, por jo të jashtëzakonshme (8/10); abonimet në revistat ndërkombëtare mund të zgjerohen. </w:t>
      </w:r>
      <w:r w:rsidRPr="00FB4AFA">
        <w:rPr>
          <w:rFonts w:ascii="Times New Roman" w:hAnsi="Times New Roman" w:cs="Times New Roman"/>
          <w:sz w:val="24"/>
          <w:szCs w:val="24"/>
        </w:rPr>
        <w:br/>
        <w:t xml:space="preserve">- Mbështetja e studentëve: Shërbimet e karrierës janë të shfrytëzuara mirë (9/10); aktivitetet jashtëshkollore janë të promovuara mirë (8/10); stafi mbështetës është i mjaftueshëm (8/10). </w:t>
      </w:r>
      <w:r w:rsidRPr="00FB4AFA">
        <w:rPr>
          <w:rFonts w:ascii="Times New Roman" w:hAnsi="Times New Roman" w:cs="Times New Roman"/>
          <w:sz w:val="24"/>
          <w:szCs w:val="24"/>
        </w:rPr>
        <w:br/>
      </w:r>
      <w:r w:rsidRPr="00FB4AFA">
        <w:rPr>
          <w:rFonts w:ascii="Times New Roman" w:hAnsi="Times New Roman" w:cs="Times New Roman"/>
          <w:sz w:val="24"/>
          <w:szCs w:val="24"/>
        </w:rPr>
        <w:br/>
        <w:t>Vëzhgim: Ambientet janë përgjithësisht të mjaftueshme, por mbipopullimi në kohën e pikut dhe burimet e kufizuara të specializuara janë probleme.</w:t>
      </w:r>
    </w:p>
    <w:p w14:paraId="3E1510C1" w14:textId="77777777" w:rsidR="00CC1130" w:rsidRPr="00D75709" w:rsidRDefault="00CC1130" w:rsidP="00CC1130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FB4AFA">
        <w:rPr>
          <w:rFonts w:ascii="Times New Roman" w:hAnsi="Times New Roman" w:cs="Times New Roman"/>
          <w:sz w:val="24"/>
          <w:szCs w:val="24"/>
        </w:rPr>
        <w:t xml:space="preserve">5. </w:t>
      </w:r>
      <w:r w:rsidRPr="00D75709">
        <w:rPr>
          <w:rFonts w:ascii="Times New Roman" w:hAnsi="Times New Roman" w:cs="Times New Roman"/>
          <w:b/>
          <w:bCs/>
          <w:color w:val="auto"/>
          <w:sz w:val="24"/>
          <w:szCs w:val="24"/>
        </w:rPr>
        <w:t>Ndërkombëtarizimi, Partneritetet dhe Angazhimi i Komunitetit</w:t>
      </w:r>
    </w:p>
    <w:p w14:paraId="49309E92" w14:textId="77777777" w:rsidR="00CC1130" w:rsidRPr="00FB4AFA" w:rsidRDefault="00CC1130" w:rsidP="00CC1130">
      <w:pPr>
        <w:rPr>
          <w:rFonts w:ascii="Times New Roman" w:hAnsi="Times New Roman" w:cs="Times New Roman"/>
          <w:sz w:val="24"/>
          <w:szCs w:val="24"/>
        </w:rPr>
      </w:pPr>
      <w:r w:rsidRPr="00FB4AFA">
        <w:rPr>
          <w:rFonts w:ascii="Times New Roman" w:hAnsi="Times New Roman" w:cs="Times New Roman"/>
          <w:sz w:val="24"/>
          <w:szCs w:val="24"/>
        </w:rPr>
        <w:t xml:space="preserve">- Lëvizshmëria: Programet reklamohen rregullisht (9/10), por përfshirja e studentëve mbetet e kufizuar (7/10). </w:t>
      </w:r>
      <w:r w:rsidRPr="00FB4AFA">
        <w:rPr>
          <w:rFonts w:ascii="Times New Roman" w:hAnsi="Times New Roman" w:cs="Times New Roman"/>
          <w:sz w:val="24"/>
          <w:szCs w:val="24"/>
        </w:rPr>
        <w:br/>
        <w:t xml:space="preserve">- Partneritetet: Bashkëpunimet me IAL të tjera dhe partnerë të komunitetit janë të pranishme, por jo plotësisht të zhvilluara (8/10).- Angazhimi i Komunitetit: Gjithnjë e më aktiv në kërkimet dhe shërbimet që lidhen me komunitetin (9/10). </w:t>
      </w:r>
      <w:r w:rsidRPr="00FB4AFA">
        <w:rPr>
          <w:rFonts w:ascii="Times New Roman" w:hAnsi="Times New Roman" w:cs="Times New Roman"/>
          <w:sz w:val="24"/>
          <w:szCs w:val="24"/>
        </w:rPr>
        <w:br/>
      </w:r>
      <w:r w:rsidRPr="00FB4AFA">
        <w:rPr>
          <w:rFonts w:ascii="Times New Roman" w:hAnsi="Times New Roman" w:cs="Times New Roman"/>
          <w:sz w:val="24"/>
          <w:szCs w:val="24"/>
        </w:rPr>
        <w:br/>
        <w:t>Vëzhgim: Ndërkombëtarizimi kërkon promovim më të fortë, ndërsa angazhimi i komunitetit tregon rritje premtuese.</w:t>
      </w:r>
    </w:p>
    <w:p w14:paraId="69401470" w14:textId="77777777" w:rsidR="00CC1130" w:rsidRPr="00D75709" w:rsidRDefault="00CC1130" w:rsidP="00CC1130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D75709">
        <w:rPr>
          <w:rFonts w:ascii="Times New Roman" w:hAnsi="Times New Roman" w:cs="Times New Roman"/>
          <w:b/>
          <w:bCs/>
          <w:color w:val="auto"/>
          <w:sz w:val="24"/>
          <w:szCs w:val="24"/>
        </w:rPr>
        <w:t>6. Ekselencë në Performancë</w:t>
      </w:r>
    </w:p>
    <w:p w14:paraId="5A5CFEE0" w14:textId="77777777" w:rsidR="00CC1130" w:rsidRPr="00FB4AFA" w:rsidRDefault="00CC1130" w:rsidP="00CC1130">
      <w:pPr>
        <w:rPr>
          <w:rFonts w:ascii="Times New Roman" w:hAnsi="Times New Roman" w:cs="Times New Roman"/>
          <w:sz w:val="24"/>
          <w:szCs w:val="24"/>
        </w:rPr>
      </w:pPr>
      <w:r w:rsidRPr="00FB4AFA">
        <w:rPr>
          <w:rFonts w:ascii="Times New Roman" w:hAnsi="Times New Roman" w:cs="Times New Roman"/>
          <w:sz w:val="24"/>
          <w:szCs w:val="24"/>
        </w:rPr>
        <w:t xml:space="preserve">Treguesit e Stafit Akademik </w:t>
      </w:r>
      <w:r w:rsidRPr="00FB4AFA">
        <w:rPr>
          <w:rFonts w:ascii="Times New Roman" w:hAnsi="Times New Roman" w:cs="Times New Roman"/>
          <w:sz w:val="24"/>
          <w:szCs w:val="24"/>
        </w:rPr>
        <w:br/>
        <w:t xml:space="preserve">- Proceset e rekrutimit janë transparente dhe të drejta (9/10).- Kualifikimet e stafit përputhen mirë me kërkesat e mësimdhënies (9/10).- Zhvillimi profesional mbështetet, por shkallët e pjesëmarrjes janë të moderuara (7/10).- Raportet student-mësues mbeten të pranueshme (8/10). </w:t>
      </w:r>
      <w:r w:rsidRPr="00FB4AFA">
        <w:rPr>
          <w:rFonts w:ascii="Times New Roman" w:hAnsi="Times New Roman" w:cs="Times New Roman"/>
          <w:sz w:val="24"/>
          <w:szCs w:val="24"/>
        </w:rPr>
        <w:br/>
      </w:r>
      <w:r w:rsidRPr="00FB4AFA">
        <w:rPr>
          <w:rFonts w:ascii="Times New Roman" w:hAnsi="Times New Roman" w:cs="Times New Roman"/>
          <w:sz w:val="24"/>
          <w:szCs w:val="24"/>
        </w:rPr>
        <w:br/>
        <w:t>Progresi dhe Rezultatet e Studentëve - Sistemet e monitorimit për progresin dhe përfundimin janë efektive (8–9/10).- Shkallët e braktisjes dhe kalueshmërisë janë publikuar, por nuk janë të detajuara plotësisht.- Rënia e kënaqësisë në vitin e 3-të tregon rreziqe për reputacionin e programit nëse nuk adresohen.</w:t>
      </w:r>
    </w:p>
    <w:p w14:paraId="3CAAD0AF" w14:textId="77777777" w:rsidR="00CC1130" w:rsidRPr="00D75709" w:rsidRDefault="00CC1130" w:rsidP="00CC1130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D75709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7. Rekomandime</w:t>
      </w:r>
    </w:p>
    <w:p w14:paraId="0014A657" w14:textId="1B5DE643" w:rsidR="00CC1130" w:rsidRPr="00FB4AFA" w:rsidRDefault="00CC1130" w:rsidP="00CC1130">
      <w:pPr>
        <w:rPr>
          <w:rFonts w:ascii="Times New Roman" w:hAnsi="Times New Roman" w:cs="Times New Roman"/>
          <w:sz w:val="24"/>
          <w:szCs w:val="24"/>
        </w:rPr>
      </w:pPr>
      <w:r w:rsidRPr="00FB4AFA">
        <w:rPr>
          <w:rFonts w:ascii="Times New Roman" w:hAnsi="Times New Roman" w:cs="Times New Roman"/>
          <w:sz w:val="24"/>
          <w:szCs w:val="24"/>
        </w:rPr>
        <w:t xml:space="preserve">1. Përmirësimi i Metodave të Mësimdhënies </w:t>
      </w:r>
      <w:r w:rsidRPr="00FB4AFA">
        <w:rPr>
          <w:rFonts w:ascii="Times New Roman" w:hAnsi="Times New Roman" w:cs="Times New Roman"/>
          <w:sz w:val="24"/>
          <w:szCs w:val="24"/>
        </w:rPr>
        <w:br/>
        <w:t xml:space="preserve">- Përshtatja e qasjeve më interaktive dhe të përqendruara te studenti gjatë të gjitha viteve. - Standardizimi dhe zgjerimi i </w:t>
      </w:r>
      <w:r w:rsidR="00D75709">
        <w:rPr>
          <w:rFonts w:ascii="Times New Roman" w:hAnsi="Times New Roman" w:cs="Times New Roman"/>
          <w:sz w:val="24"/>
          <w:szCs w:val="24"/>
        </w:rPr>
        <w:t xml:space="preserve">përdorimit të teknologjive bashkëkohore të mësimdhënies. </w:t>
      </w:r>
      <w:r w:rsidRPr="00FB4AFA">
        <w:rPr>
          <w:rFonts w:ascii="Times New Roman" w:hAnsi="Times New Roman" w:cs="Times New Roman"/>
          <w:sz w:val="24"/>
          <w:szCs w:val="24"/>
        </w:rPr>
        <w:br/>
      </w:r>
      <w:r w:rsidRPr="00FB4AFA">
        <w:rPr>
          <w:rFonts w:ascii="Times New Roman" w:hAnsi="Times New Roman" w:cs="Times New Roman"/>
          <w:sz w:val="24"/>
          <w:szCs w:val="24"/>
        </w:rPr>
        <w:br/>
        <w:t xml:space="preserve">2. Përmirësimi i Qasjes në Materialet e Studimit - Sigurimi i disponueshmërisë së vazhdueshme të materialeve të përditësuara të kursit si në platformat fizike ashtu edhe në ato online. </w:t>
      </w:r>
      <w:r w:rsidRPr="00FB4AFA">
        <w:rPr>
          <w:rFonts w:ascii="Times New Roman" w:hAnsi="Times New Roman" w:cs="Times New Roman"/>
          <w:sz w:val="24"/>
          <w:szCs w:val="24"/>
        </w:rPr>
        <w:br/>
        <w:t xml:space="preserve">- Zgjerimi i abonimeve në biblioteka, veçanërisht në revistat ndërkombëtare. </w:t>
      </w:r>
      <w:r w:rsidRPr="00FB4AFA">
        <w:rPr>
          <w:rFonts w:ascii="Times New Roman" w:hAnsi="Times New Roman" w:cs="Times New Roman"/>
          <w:sz w:val="24"/>
          <w:szCs w:val="24"/>
        </w:rPr>
        <w:br/>
      </w:r>
      <w:r w:rsidRPr="00FB4AFA">
        <w:rPr>
          <w:rFonts w:ascii="Times New Roman" w:hAnsi="Times New Roman" w:cs="Times New Roman"/>
          <w:sz w:val="24"/>
          <w:szCs w:val="24"/>
        </w:rPr>
        <w:br/>
        <w:t xml:space="preserve">3. Adresimi </w:t>
      </w:r>
      <w:r w:rsidR="007B7904">
        <w:rPr>
          <w:rFonts w:ascii="Times New Roman" w:hAnsi="Times New Roman" w:cs="Times New Roman"/>
          <w:sz w:val="24"/>
          <w:szCs w:val="24"/>
        </w:rPr>
        <w:t xml:space="preserve">ndaj studentëve të vitit të tretë </w:t>
      </w:r>
      <w:r w:rsidRPr="00FB4AFA">
        <w:rPr>
          <w:rFonts w:ascii="Times New Roman" w:hAnsi="Times New Roman" w:cs="Times New Roman"/>
          <w:sz w:val="24"/>
          <w:szCs w:val="24"/>
        </w:rPr>
        <w:br/>
        <w:t xml:space="preserve">- Prioritizimi i mentorimit, qartësimit të detyrimeve dhe disponueshmërisë së materialeve për studentët e vitit të fundit. - Ofrimi i trajnimit të fakultetit posaçërisht për angazhimin e vitit të avancuar. </w:t>
      </w:r>
      <w:r w:rsidRPr="00FB4AFA">
        <w:rPr>
          <w:rFonts w:ascii="Times New Roman" w:hAnsi="Times New Roman" w:cs="Times New Roman"/>
          <w:sz w:val="24"/>
          <w:szCs w:val="24"/>
        </w:rPr>
        <w:br/>
      </w:r>
      <w:r w:rsidRPr="00FB4AFA">
        <w:rPr>
          <w:rFonts w:ascii="Times New Roman" w:hAnsi="Times New Roman" w:cs="Times New Roman"/>
          <w:sz w:val="24"/>
          <w:szCs w:val="24"/>
        </w:rPr>
        <w:br/>
        <w:t xml:space="preserve">4. Forcimi i Ndërkombëtarizimit - Stimulimi i pjesëmarrjes së studentëve në programet e lëvizshmërisë. - Zgjerimi i marrëveshjeve dypalëshe me universitetet e huaja. </w:t>
      </w:r>
      <w:r w:rsidRPr="00FB4AFA">
        <w:rPr>
          <w:rFonts w:ascii="Times New Roman" w:hAnsi="Times New Roman" w:cs="Times New Roman"/>
          <w:sz w:val="24"/>
          <w:szCs w:val="24"/>
        </w:rPr>
        <w:br/>
      </w:r>
      <w:r w:rsidRPr="00FB4AFA">
        <w:rPr>
          <w:rFonts w:ascii="Times New Roman" w:hAnsi="Times New Roman" w:cs="Times New Roman"/>
          <w:sz w:val="24"/>
          <w:szCs w:val="24"/>
        </w:rPr>
        <w:br/>
        <w:t>5. Zgjerimi i Integrimit të Kërkimit - Inkurajimi i përfshirjes më të gjerë të studentëve në projektet kërkimore të fakultetit. - Rritja e bashkëpunimit me industrinë për kërkimin e aplikuar.</w:t>
      </w:r>
    </w:p>
    <w:p w14:paraId="333E0623" w14:textId="77777777" w:rsidR="00CC1130" w:rsidRPr="00D75709" w:rsidRDefault="00CC1130" w:rsidP="00CC1130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D75709">
        <w:rPr>
          <w:rFonts w:ascii="Times New Roman" w:hAnsi="Times New Roman" w:cs="Times New Roman"/>
          <w:b/>
          <w:bCs/>
          <w:color w:val="auto"/>
          <w:sz w:val="24"/>
          <w:szCs w:val="24"/>
        </w:rPr>
        <w:t>8. Përfundim</w:t>
      </w:r>
    </w:p>
    <w:p w14:paraId="6D7E3ED6" w14:textId="7C576271" w:rsidR="00CC1130" w:rsidRPr="00FB4AFA" w:rsidRDefault="00CC1130" w:rsidP="00CC1130">
      <w:pPr>
        <w:rPr>
          <w:rFonts w:ascii="Times New Roman" w:hAnsi="Times New Roman" w:cs="Times New Roman"/>
          <w:sz w:val="24"/>
          <w:szCs w:val="24"/>
        </w:rPr>
      </w:pPr>
      <w:r w:rsidRPr="00FB4AFA">
        <w:rPr>
          <w:rFonts w:ascii="Times New Roman" w:hAnsi="Times New Roman" w:cs="Times New Roman"/>
          <w:sz w:val="24"/>
          <w:szCs w:val="24"/>
        </w:rPr>
        <w:t>Programi BSc në Psikologji demonstron përputhje të fortë me misionin e UBT-së, një kurrikulë të fuqishme dhe sisteme efektive të sigurimit të cilësisë. Me përmirësime të synuara, Fakulteti i Psikologjisë është i pozicionuar mirë për të forcuar përsosmërinë akademike, suksesin e studentëve dhe ndikimin shoqëror.</w:t>
      </w:r>
    </w:p>
    <w:p w14:paraId="07A3937B" w14:textId="77777777" w:rsidR="009F7C65" w:rsidRPr="00FB4AFA" w:rsidRDefault="009F7C65">
      <w:pPr>
        <w:rPr>
          <w:rFonts w:ascii="Times New Roman" w:hAnsi="Times New Roman" w:cs="Times New Roman"/>
          <w:sz w:val="24"/>
          <w:szCs w:val="24"/>
        </w:rPr>
      </w:pPr>
    </w:p>
    <w:sectPr w:rsidR="009F7C65" w:rsidRPr="00FB4AFA" w:rsidSect="00CC113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130"/>
    <w:rsid w:val="00040D5D"/>
    <w:rsid w:val="0004642C"/>
    <w:rsid w:val="00046C65"/>
    <w:rsid w:val="00170D04"/>
    <w:rsid w:val="00462FB7"/>
    <w:rsid w:val="004807F2"/>
    <w:rsid w:val="004B0A09"/>
    <w:rsid w:val="004D3772"/>
    <w:rsid w:val="00543F28"/>
    <w:rsid w:val="00544F1B"/>
    <w:rsid w:val="005B6AE2"/>
    <w:rsid w:val="00731145"/>
    <w:rsid w:val="00775B64"/>
    <w:rsid w:val="0079454C"/>
    <w:rsid w:val="007B7904"/>
    <w:rsid w:val="008E5C27"/>
    <w:rsid w:val="009011D6"/>
    <w:rsid w:val="009F7C65"/>
    <w:rsid w:val="00A60CD1"/>
    <w:rsid w:val="00A65209"/>
    <w:rsid w:val="00AC0900"/>
    <w:rsid w:val="00CC1130"/>
    <w:rsid w:val="00D75709"/>
    <w:rsid w:val="00E5100C"/>
    <w:rsid w:val="00FB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45B4A9"/>
  <w15:chartTrackingRefBased/>
  <w15:docId w15:val="{6D896FA2-5BCE-4507-90A2-7ADD78952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q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130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113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113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113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113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113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113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113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113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113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11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11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11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113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113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11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11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11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11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11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11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113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11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1130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11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1130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113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11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113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113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1034</Words>
  <Characters>6138</Characters>
  <Application>Microsoft Office Word</Application>
  <DocSecurity>0</DocSecurity>
  <Lines>122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deniscelcima@gmail.com</dc:creator>
  <cp:keywords/>
  <dc:description/>
  <cp:lastModifiedBy>deniscelcima@gmail.com</cp:lastModifiedBy>
  <cp:revision>2</cp:revision>
  <dcterms:created xsi:type="dcterms:W3CDTF">2025-10-08T09:20:00Z</dcterms:created>
  <dcterms:modified xsi:type="dcterms:W3CDTF">2025-10-08T09:20:00Z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5a691276-b913-459b-b33b-3f1f914cfe2e</vt:lpwstr>
  </property>
</Properties>
</file>