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B569B" w14:textId="77777777" w:rsidR="000C6AB8" w:rsidRPr="00013D99" w:rsidRDefault="000C6AB8" w:rsidP="000C6AB8">
      <w:pPr>
        <w:jc w:val="center"/>
        <w:rPr>
          <w:rFonts w:ascii="Swis721 Cn BT" w:hAnsi="Swis721 Cn BT"/>
          <w:lang w:val="sq-AL"/>
        </w:rPr>
      </w:pPr>
      <w:r w:rsidRPr="00013D99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226B576C" wp14:editId="226B576D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6B569C" w14:textId="77777777" w:rsidR="000C6AB8" w:rsidRPr="00013D99" w:rsidRDefault="000C6AB8" w:rsidP="000C6AB8">
      <w:pPr>
        <w:jc w:val="center"/>
        <w:rPr>
          <w:rFonts w:ascii="Helvetica" w:hAnsi="Helvetica" w:cs="Helvetica"/>
          <w:sz w:val="16"/>
          <w:szCs w:val="16"/>
          <w:lang w:val="sq-AL"/>
        </w:rPr>
      </w:pPr>
      <w:r w:rsidRPr="00013D99">
        <w:rPr>
          <w:rFonts w:ascii="Helvetica" w:hAnsi="Helvetica" w:cs="Helvetica"/>
          <w:sz w:val="16"/>
          <w:szCs w:val="16"/>
          <w:lang w:val="sq-AL"/>
        </w:rPr>
        <w:t>…………………………………………………………………………………………………………………………………………………………</w:t>
      </w:r>
    </w:p>
    <w:p w14:paraId="226B569D" w14:textId="65A71165" w:rsidR="000C6AB8" w:rsidRPr="00013D99" w:rsidRDefault="007F3CB4" w:rsidP="000C6AB8">
      <w:pPr>
        <w:jc w:val="center"/>
        <w:rPr>
          <w:rFonts w:ascii="Tahoma" w:hAnsi="Tahoma" w:cs="Tahoma"/>
          <w:b/>
          <w:sz w:val="24"/>
          <w:szCs w:val="24"/>
          <w:lang w:val="sq-AL"/>
        </w:rPr>
      </w:pPr>
      <w:r>
        <w:rPr>
          <w:rFonts w:ascii="Tahoma" w:hAnsi="Tahoma" w:cs="Tahoma"/>
          <w:b/>
          <w:sz w:val="24"/>
          <w:szCs w:val="24"/>
          <w:lang w:val="sq-AL"/>
        </w:rPr>
        <w:t>B</w:t>
      </w:r>
      <w:r w:rsidR="000C6AB8" w:rsidRPr="00013D99">
        <w:rPr>
          <w:rFonts w:ascii="Tahoma" w:hAnsi="Tahoma" w:cs="Tahoma"/>
          <w:b/>
          <w:sz w:val="24"/>
          <w:szCs w:val="24"/>
          <w:lang w:val="sq-AL"/>
        </w:rPr>
        <w:t xml:space="preserve">Sc </w:t>
      </w:r>
      <w:r w:rsidR="006F0E17">
        <w:rPr>
          <w:rFonts w:ascii="Tahoma" w:hAnsi="Tahoma" w:cs="Tahoma"/>
          <w:b/>
          <w:sz w:val="24"/>
          <w:szCs w:val="24"/>
          <w:lang w:val="sq-AL"/>
        </w:rPr>
        <w:t xml:space="preserve">Arkitekture dhe Planifikim Hapësinor </w:t>
      </w:r>
    </w:p>
    <w:p w14:paraId="226B569E" w14:textId="77777777" w:rsidR="000C6AB8" w:rsidRPr="00013D99" w:rsidRDefault="000C6AB8" w:rsidP="000C6AB8">
      <w:pPr>
        <w:jc w:val="center"/>
        <w:rPr>
          <w:rFonts w:ascii="Tahoma" w:hAnsi="Tahoma" w:cs="Tahoma"/>
          <w:b/>
          <w:sz w:val="20"/>
          <w:szCs w:val="20"/>
          <w:lang w:val="sq-AL"/>
        </w:rPr>
      </w:pPr>
      <w:r w:rsidRPr="00013D99">
        <w:rPr>
          <w:rFonts w:ascii="Tahoma" w:hAnsi="Tahoma" w:cs="Tahoma"/>
          <w:b/>
          <w:sz w:val="21"/>
          <w:szCs w:val="21"/>
          <w:lang w:val="sq-AL"/>
        </w:rPr>
        <w:t xml:space="preserve"> </w:t>
      </w:r>
      <w:r w:rsidRPr="00013D99">
        <w:rPr>
          <w:rFonts w:ascii="Tahoma" w:hAnsi="Tahoma" w:cs="Tahoma"/>
          <w:b/>
          <w:sz w:val="20"/>
          <w:szCs w:val="20"/>
          <w:lang w:val="sq-AL"/>
        </w:rPr>
        <w:t>Sillabus</w:t>
      </w:r>
    </w:p>
    <w:p w14:paraId="226B569F" w14:textId="77777777" w:rsidR="000819A7" w:rsidRPr="00013D99" w:rsidRDefault="000819A7" w:rsidP="000C6AB8">
      <w:pPr>
        <w:jc w:val="center"/>
        <w:rPr>
          <w:rFonts w:ascii="Helvetica" w:hAnsi="Helvetica" w:cs="Helvetica"/>
          <w:b/>
          <w:sz w:val="20"/>
          <w:szCs w:val="20"/>
          <w:lang w:val="sq-AL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27"/>
        <w:gridCol w:w="3995"/>
        <w:gridCol w:w="887"/>
        <w:gridCol w:w="1426"/>
        <w:gridCol w:w="1792"/>
      </w:tblGrid>
      <w:tr w:rsidR="00605CEC" w:rsidRPr="00013D99" w14:paraId="226B56A5" w14:textId="77777777" w:rsidTr="00C60D64">
        <w:trPr>
          <w:trHeight w:val="764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26B56A0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L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nda</w:t>
            </w:r>
          </w:p>
          <w:p w14:paraId="226B56A1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26B56A2" w14:textId="77777777" w:rsidR="00605CEC" w:rsidRPr="00660B43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  <w:p w14:paraId="226B56A4" w14:textId="7E97D085" w:rsidR="00605CEC" w:rsidRPr="00660B43" w:rsidRDefault="00590B34" w:rsidP="00627672">
            <w:pPr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  <w:r w:rsidRPr="00660B43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Dizajni urban dhe Pe</w:t>
            </w:r>
            <w:r w:rsidR="001025E0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iz</w:t>
            </w:r>
            <w:r w:rsidRPr="00660B43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azhi</w:t>
            </w:r>
          </w:p>
        </w:tc>
      </w:tr>
      <w:tr w:rsidR="00210AEF" w:rsidRPr="00013D99" w14:paraId="226B56AC" w14:textId="77777777" w:rsidTr="00F31E7C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26B56A6" w14:textId="77777777" w:rsidR="00210AEF" w:rsidRPr="00013D99" w:rsidRDefault="00210AEF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6B56A7" w14:textId="50EDD2AA" w:rsidR="00210AEF" w:rsidRPr="00660B43" w:rsidRDefault="00210AEF" w:rsidP="00210AEF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660B43">
              <w:rPr>
                <w:rFonts w:ascii="Arial" w:hAnsi="Arial" w:cs="Arial"/>
                <w:sz w:val="17"/>
                <w:szCs w:val="17"/>
                <w:lang w:val="sq-AL"/>
              </w:rPr>
              <w:t>Lloj</w:t>
            </w:r>
            <w:r w:rsidR="00BB2183" w:rsidRPr="00660B43">
              <w:rPr>
                <w:rFonts w:ascii="Arial" w:hAnsi="Arial" w:cs="Arial"/>
                <w:sz w:val="17"/>
                <w:szCs w:val="17"/>
                <w:lang w:val="sq-AL"/>
              </w:rPr>
              <w:t>i</w:t>
            </w:r>
            <w:r w:rsidRPr="00660B43">
              <w:rPr>
                <w:rFonts w:ascii="Arial" w:hAnsi="Arial" w:cs="Arial"/>
                <w:sz w:val="17"/>
                <w:szCs w:val="17"/>
                <w:lang w:val="sq-AL"/>
              </w:rPr>
              <w:t xml:space="preserve"> </w:t>
            </w:r>
          </w:p>
          <w:p w14:paraId="226B56A8" w14:textId="77777777" w:rsidR="00210AEF" w:rsidRPr="00660B43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6B56A9" w14:textId="77777777" w:rsidR="00210AEF" w:rsidRPr="00660B43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660B43">
              <w:rPr>
                <w:rFonts w:ascii="Arial" w:hAnsi="Arial" w:cs="Arial"/>
                <w:sz w:val="17"/>
                <w:szCs w:val="17"/>
                <w:lang w:val="sq-AL"/>
              </w:rPr>
              <w:t>Semestri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6B56AA" w14:textId="77777777" w:rsidR="00210AEF" w:rsidRPr="00660B43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660B43">
              <w:rPr>
                <w:rFonts w:ascii="Arial" w:hAnsi="Arial" w:cs="Arial"/>
                <w:sz w:val="17"/>
                <w:szCs w:val="17"/>
                <w:lang w:val="sq-AL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6B56AB" w14:textId="77777777" w:rsidR="00210AEF" w:rsidRPr="00660B43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660B43">
              <w:rPr>
                <w:rFonts w:ascii="Arial" w:hAnsi="Arial" w:cs="Arial"/>
                <w:sz w:val="17"/>
                <w:szCs w:val="17"/>
                <w:lang w:val="sq-AL"/>
              </w:rPr>
              <w:t>Kodi</w:t>
            </w:r>
          </w:p>
        </w:tc>
      </w:tr>
      <w:tr w:rsidR="00210AEF" w:rsidRPr="00013D99" w14:paraId="226B56B3" w14:textId="77777777" w:rsidTr="00C60D64">
        <w:trPr>
          <w:trHeight w:hRule="exact" w:val="357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26B56AD" w14:textId="77777777" w:rsidR="00210AEF" w:rsidRPr="00013D99" w:rsidRDefault="00210AEF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26B56AE" w14:textId="77777777" w:rsidR="00210AEF" w:rsidRPr="00660B43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660B43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OBLIGATIVE (O)</w:t>
            </w:r>
          </w:p>
          <w:p w14:paraId="226B56AF" w14:textId="77777777" w:rsidR="00210AEF" w:rsidRPr="00660B43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6B56B0" w14:textId="5C859C49" w:rsidR="00210AEF" w:rsidRPr="00660B43" w:rsidRDefault="00E04B34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660B43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6B56B1" w14:textId="6A3519C8" w:rsidR="00210AEF" w:rsidRPr="00660B43" w:rsidRDefault="00590B34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660B43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6B56B2" w14:textId="71160DE7" w:rsidR="00210AEF" w:rsidRPr="00660B43" w:rsidRDefault="00590B34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660B43">
              <w:rPr>
                <w:rFonts w:ascii="Arial" w:eastAsia="Times New Roman" w:hAnsi="Arial" w:cs="Arial"/>
                <w:lang w:val="en-US"/>
              </w:rPr>
              <w:t>30-UDL-416</w:t>
            </w:r>
          </w:p>
        </w:tc>
      </w:tr>
      <w:tr w:rsidR="00605CEC" w:rsidRPr="00013D99" w14:paraId="226B56B6" w14:textId="77777777" w:rsidTr="005C3AEC">
        <w:trPr>
          <w:trHeight w:hRule="exact" w:val="288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B4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Ligjeruesi i l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nd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226B56B5" w14:textId="267A2BA5" w:rsidR="00605CEC" w:rsidRPr="00013D99" w:rsidRDefault="00590B34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Prof. Asoc. Dr. Nexhat Balaj</w:t>
            </w:r>
            <w:r w:rsidR="00964C44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, </w:t>
            </w:r>
            <w:r w:rsidR="00342D5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  </w:t>
            </w:r>
            <w:r w:rsidR="00435661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Ligjerues MSc </w:t>
            </w:r>
            <w:proofErr w:type="spellStart"/>
            <w:r w:rsidR="00964C44" w:rsidRPr="00964C44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>Cand</w:t>
            </w:r>
            <w:proofErr w:type="spellEnd"/>
            <w:r w:rsidR="00964C44" w:rsidRPr="00964C44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 xml:space="preserve">. Dr. </w:t>
            </w:r>
            <w:proofErr w:type="spellStart"/>
            <w:r w:rsidR="00964C44" w:rsidRPr="00964C44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>Skender</w:t>
            </w:r>
            <w:proofErr w:type="spellEnd"/>
            <w:r w:rsidR="00964C44" w:rsidRPr="00964C44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964C44" w:rsidRPr="00964C44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>Kosumi</w:t>
            </w:r>
            <w:proofErr w:type="spellEnd"/>
          </w:p>
        </w:tc>
      </w:tr>
      <w:tr w:rsidR="00605CEC" w:rsidRPr="00013D99" w14:paraId="226B56B9" w14:textId="77777777" w:rsidTr="005C3AEC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B7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Asistenti i l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nd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s</w:t>
            </w: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005A6A1F" w14:textId="31C57D56" w:rsidR="00605CEC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  <w:p w14:paraId="226B56B8" w14:textId="5F1907BA" w:rsidR="008F6F66" w:rsidRPr="00013D99" w:rsidRDefault="008F6F66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</w:tr>
      <w:tr w:rsidR="00605CEC" w:rsidRPr="00013D99" w14:paraId="226B56BC" w14:textId="77777777" w:rsidTr="005C3AEC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BA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Tutori i l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nd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s</w:t>
            </w: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6B56BB" w14:textId="77777777" w:rsidR="00605CEC" w:rsidRPr="00013D99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</w:tr>
      <w:tr w:rsidR="00605CEC" w:rsidRPr="0031549C" w14:paraId="226B56C1" w14:textId="77777777" w:rsidTr="005C3AEC">
        <w:trPr>
          <w:trHeight w:val="2420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BD" w14:textId="77777777" w:rsidR="00605CEC" w:rsidRPr="0031549C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31549C">
              <w:rPr>
                <w:rFonts w:ascii="Arial" w:hAnsi="Arial" w:cs="Arial"/>
                <w:b/>
                <w:sz w:val="17"/>
                <w:szCs w:val="17"/>
                <w:lang w:val="sq-AL"/>
              </w:rPr>
              <w:t>Q</w:t>
            </w:r>
            <w:r w:rsidR="00567E01" w:rsidRPr="0031549C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31549C">
              <w:rPr>
                <w:rFonts w:ascii="Arial" w:hAnsi="Arial" w:cs="Arial"/>
                <w:b/>
                <w:sz w:val="17"/>
                <w:szCs w:val="17"/>
                <w:lang w:val="sq-AL"/>
              </w:rPr>
              <w:t>llimet dhe Objektivat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DC0C51" w14:textId="75A063D4" w:rsidR="00590B34" w:rsidRPr="0031549C" w:rsidRDefault="00590B34" w:rsidP="00590B34">
            <w:pPr>
              <w:spacing w:before="60" w:after="60"/>
              <w:jc w:val="both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Objektivi i lënd</w:t>
            </w:r>
            <w:r w:rsidR="005310D5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s</w:t>
            </w:r>
            <w:r w:rsidR="00633667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"Dizajni Urban dhe Pei</w:t>
            </w:r>
            <w:r w:rsidR="001025E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z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azhi" është </w:t>
            </w:r>
            <w:r w:rsidR="005310D5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e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kup</w:t>
            </w:r>
            <w:r w:rsidR="005310D5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tuarit të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koncepte</w:t>
            </w:r>
            <w:r w:rsidR="005310D5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ve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themelore të Dizajni</w:t>
            </w:r>
            <w:r w:rsidR="00633667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t Urban dhe Arkitekturës së Pei</w:t>
            </w:r>
            <w:r w:rsidR="001025E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z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azhit. Të ofrojë studentëve njohuri dhe aftësi për zhvillimin e </w:t>
            </w:r>
            <w:r w:rsidR="00B05611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profesionit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si projektues urban dhe studiues për të adresuar sfidat e reja të qyteteve dhe planifikimit të peizazhit. Konceptet dhe teoritë në Arkitekturën e peizazhit/projektimin urban në këndvështrimin historik, origjina e formave, organizimi</w:t>
            </w:r>
            <w:r w:rsidR="00633667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i hapësirës, marrëdhënia e peis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azhit me objektet. Ofron njohuritë e nevojshme mbi parametrat socio-ekonomikë, mjedisorë dhe estetikë, duke theksuar </w:t>
            </w:r>
            <w:r w:rsidR="0057581E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A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rkitekturën e peizazhit dhe përfitimet nga bimësia urbane dhe parqeve</w:t>
            </w:r>
            <w:r w:rsidR="0057581E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publike</w:t>
            </w:r>
            <w:r w:rsidR="00B05611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në qytete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. Ky kurs trajton një diskutim rreth projektimit dhe përfaqësimit të hapësirës publike, duke synuar të ofrojë studentëve </w:t>
            </w:r>
            <w:r w:rsidR="00E7749D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mundë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si për të menduar, diskutuar, projektuar dhe përfaqësuar </w:t>
            </w:r>
            <w:r w:rsidR="00E7749D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dizajnin dhe </w:t>
            </w:r>
            <w:r w:rsidR="00F73940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peis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azhin urban në një kontekst me karakter publik.</w:t>
            </w:r>
          </w:p>
          <w:p w14:paraId="79654F33" w14:textId="421935C3" w:rsidR="00590B34" w:rsidRPr="0031549C" w:rsidRDefault="00590B34" w:rsidP="00590B34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Qëllimi kryesor i kursit është:</w:t>
            </w:r>
          </w:p>
          <w:p w14:paraId="3E9C6392" w14:textId="2013E59D" w:rsidR="00590B34" w:rsidRPr="0031549C" w:rsidRDefault="00590B34" w:rsidP="00F302B1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Njohja me procesin e </w:t>
            </w:r>
            <w:r w:rsidR="0057581E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p</w:t>
            </w:r>
            <w:r w:rsidR="00633667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rojektimit Urban dhe Peis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azhit si rezultat i zhvillimit bashkëkohor të qyteteve.</w:t>
            </w:r>
          </w:p>
          <w:p w14:paraId="10A49E40" w14:textId="62B275EB" w:rsidR="00590B34" w:rsidRPr="0031549C" w:rsidRDefault="00590B34" w:rsidP="00F302B1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Njohuri </w:t>
            </w:r>
            <w:r w:rsidR="00633667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për fazat e planifikimit të peis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azhit dhe organizimit të hapësirës, marrëdhëniet e peizazhit me</w:t>
            </w:r>
            <w:r w:rsidR="00F302B1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</w:t>
            </w:r>
            <w:r w:rsidR="0057581E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objekete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t.</w:t>
            </w:r>
          </w:p>
          <w:p w14:paraId="1657B84C" w14:textId="43404748" w:rsidR="00590B34" w:rsidRPr="0031549C" w:rsidRDefault="00590B34" w:rsidP="00F302B1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Njohja me projektimin e hapësirave publike të gjelbra, parqeve, zonave rekreative.</w:t>
            </w:r>
          </w:p>
          <w:p w14:paraId="226B56C0" w14:textId="6C7F0FAE" w:rsidR="002F56DB" w:rsidRPr="0031549C" w:rsidRDefault="00590B34" w:rsidP="00F302B1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Programet </w:t>
            </w:r>
            <w:r w:rsidR="0057581E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dh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e aplikacion</w:t>
            </w:r>
            <w:r w:rsidR="0057581E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et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që lidhen me </w:t>
            </w:r>
            <w:r w:rsidR="0057581E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Arkitekturën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e peizazhit.</w:t>
            </w:r>
          </w:p>
        </w:tc>
      </w:tr>
      <w:tr w:rsidR="00605CEC" w:rsidRPr="0031549C" w14:paraId="226B56C6" w14:textId="77777777" w:rsidTr="005C3AEC">
        <w:trPr>
          <w:trHeight w:val="1799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C2" w14:textId="77777777" w:rsidR="00605CEC" w:rsidRPr="0031549C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31549C">
              <w:rPr>
                <w:rFonts w:ascii="Arial" w:hAnsi="Arial" w:cs="Arial"/>
                <w:b/>
                <w:sz w:val="17"/>
                <w:szCs w:val="17"/>
                <w:lang w:val="sq-AL"/>
              </w:rPr>
              <w:t>Rezultatet e pritshme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6B56C3" w14:textId="3D27CC3E" w:rsidR="008E4AA4" w:rsidRPr="0031549C" w:rsidRDefault="00261AD1" w:rsidP="00AA43B9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Me p</w:t>
            </w:r>
            <w:r w:rsidR="00983BAA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rfundimin e l</w:t>
            </w:r>
            <w:r w:rsidR="00983BAA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nd</w:t>
            </w:r>
            <w:r w:rsidR="00983BAA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s, studenti duhet t</w:t>
            </w:r>
            <w:r w:rsidR="00983BAA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</w:t>
            </w:r>
            <w:r w:rsidR="00425E30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j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et</w:t>
            </w:r>
            <w:r w:rsidR="00983BAA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</w:t>
            </w:r>
            <w:r w:rsidR="00425E30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i aftë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p</w:t>
            </w:r>
            <w:r w:rsidR="00983BAA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r:</w:t>
            </w:r>
          </w:p>
          <w:p w14:paraId="3A65002A" w14:textId="142BCB20" w:rsidR="0057581E" w:rsidRPr="0031549C" w:rsidRDefault="0057581E" w:rsidP="00627672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Fiton njohuri për parimet e Dizajnit Urban dhe  Peizazhit dhe se si ato kontribuojnë në qytetet moderne:</w:t>
            </w:r>
          </w:p>
          <w:p w14:paraId="4FC42865" w14:textId="00146B29" w:rsidR="0057581E" w:rsidRPr="0031549C" w:rsidRDefault="0057581E" w:rsidP="005310D5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Mësoj të përfshin mjedisin, ekonominë dhe Dizajn Urban në përputhje me Integrimin me Qëndrueshmërinë Mjedisore, Ekonomike dhe Sociale:</w:t>
            </w:r>
          </w:p>
          <w:p w14:paraId="334E7C11" w14:textId="33A18CE1" w:rsidR="0057581E" w:rsidRPr="0031549C" w:rsidRDefault="0057581E" w:rsidP="005310D5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Zhvillimi i aftësive në analizimin dhe aplikimin e dizajnit bashkëkohor të peizazhit, duke u fokusuar në perspektivat ndërdisiplinore dhe softuerët aplikativë që lidhen me metodat e </w:t>
            </w:r>
            <w:r w:rsidR="00B05611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dizajnimit urban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të peizazhit:</w:t>
            </w:r>
          </w:p>
          <w:p w14:paraId="64FA55B1" w14:textId="054E0055" w:rsidR="0057581E" w:rsidRPr="0031549C" w:rsidRDefault="0057581E" w:rsidP="005310D5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Të kuptojë se si Dizajni Urban dhe Peizazhi ndikojnë në cilësinë e jetës, në aspektet mjedisore dhe estetike:</w:t>
            </w:r>
          </w:p>
          <w:p w14:paraId="226B56C5" w14:textId="0F3650EC" w:rsidR="009428D7" w:rsidRPr="0031549C" w:rsidRDefault="0057581E" w:rsidP="005310D5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Z</w:t>
            </w:r>
            <w:r w:rsidR="00627672"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batimi i Dizajnit Urban dhe Pejs</w:t>
            </w:r>
            <w:r w:rsidRPr="0031549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azhit si koncepte themelore në dizajnin urban.</w:t>
            </w:r>
          </w:p>
        </w:tc>
      </w:tr>
    </w:tbl>
    <w:p w14:paraId="226B576B" w14:textId="77777777" w:rsidR="00042E3E" w:rsidRPr="00013D99" w:rsidRDefault="00042E3E">
      <w:pPr>
        <w:rPr>
          <w:lang w:val="sq-AL"/>
        </w:rPr>
      </w:pPr>
      <w:bookmarkStart w:id="0" w:name="_GoBack"/>
      <w:bookmarkEnd w:id="0"/>
    </w:p>
    <w:sectPr w:rsidR="00042E3E" w:rsidRPr="00013D99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"/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387C"/>
    <w:multiLevelType w:val="hybridMultilevel"/>
    <w:tmpl w:val="F65603EA"/>
    <w:lvl w:ilvl="0" w:tplc="1ABAA0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1FB5"/>
    <w:multiLevelType w:val="hybridMultilevel"/>
    <w:tmpl w:val="3272BCCE"/>
    <w:lvl w:ilvl="0" w:tplc="458428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0B35E8"/>
    <w:multiLevelType w:val="hybridMultilevel"/>
    <w:tmpl w:val="7FE88362"/>
    <w:lvl w:ilvl="0" w:tplc="051E90C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8487FE6"/>
    <w:multiLevelType w:val="hybridMultilevel"/>
    <w:tmpl w:val="0E5A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58A1B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268E7"/>
    <w:multiLevelType w:val="hybridMultilevel"/>
    <w:tmpl w:val="A10E349C"/>
    <w:lvl w:ilvl="0" w:tplc="C878464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35DF7B22"/>
    <w:multiLevelType w:val="hybridMultilevel"/>
    <w:tmpl w:val="23E8DDF0"/>
    <w:lvl w:ilvl="0" w:tplc="8758A1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03AC6"/>
    <w:multiLevelType w:val="hybridMultilevel"/>
    <w:tmpl w:val="D966A19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4AAA208D"/>
    <w:multiLevelType w:val="hybridMultilevel"/>
    <w:tmpl w:val="93B4E0A8"/>
    <w:lvl w:ilvl="0" w:tplc="64B884D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7D2"/>
    <w:multiLevelType w:val="hybridMultilevel"/>
    <w:tmpl w:val="7DA83C44"/>
    <w:lvl w:ilvl="0" w:tplc="8758A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C77D8"/>
    <w:multiLevelType w:val="hybridMultilevel"/>
    <w:tmpl w:val="00C00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03642"/>
    <w:multiLevelType w:val="hybridMultilevel"/>
    <w:tmpl w:val="88E8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87146"/>
    <w:multiLevelType w:val="hybridMultilevel"/>
    <w:tmpl w:val="A00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81955"/>
    <w:multiLevelType w:val="hybridMultilevel"/>
    <w:tmpl w:val="58DEC670"/>
    <w:lvl w:ilvl="0" w:tplc="82A0CD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377D8F"/>
    <w:multiLevelType w:val="hybridMultilevel"/>
    <w:tmpl w:val="4DBA65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67B55B67"/>
    <w:multiLevelType w:val="hybridMultilevel"/>
    <w:tmpl w:val="8A88FB08"/>
    <w:lvl w:ilvl="0" w:tplc="342ABD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686E0F6F"/>
    <w:multiLevelType w:val="hybridMultilevel"/>
    <w:tmpl w:val="5B66BE2C"/>
    <w:lvl w:ilvl="0" w:tplc="0F0A6C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51CB4"/>
    <w:multiLevelType w:val="hybridMultilevel"/>
    <w:tmpl w:val="A6B61A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19"/>
  </w:num>
  <w:num w:numId="7">
    <w:abstractNumId w:val="12"/>
  </w:num>
  <w:num w:numId="8">
    <w:abstractNumId w:val="9"/>
  </w:num>
  <w:num w:numId="9">
    <w:abstractNumId w:val="17"/>
  </w:num>
  <w:num w:numId="10">
    <w:abstractNumId w:val="7"/>
  </w:num>
  <w:num w:numId="11">
    <w:abstractNumId w:val="18"/>
  </w:num>
  <w:num w:numId="12">
    <w:abstractNumId w:val="1"/>
  </w:num>
  <w:num w:numId="13">
    <w:abstractNumId w:val="16"/>
  </w:num>
  <w:num w:numId="14">
    <w:abstractNumId w:val="13"/>
  </w:num>
  <w:num w:numId="15">
    <w:abstractNumId w:val="6"/>
  </w:num>
  <w:num w:numId="16">
    <w:abstractNumId w:val="14"/>
  </w:num>
  <w:num w:numId="17">
    <w:abstractNumId w:val="10"/>
  </w:num>
  <w:num w:numId="18">
    <w:abstractNumId w:val="3"/>
  </w:num>
  <w:num w:numId="19">
    <w:abstractNumId w:val="4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13D99"/>
    <w:rsid w:val="000159D9"/>
    <w:rsid w:val="0003134B"/>
    <w:rsid w:val="00042E3E"/>
    <w:rsid w:val="00065E6E"/>
    <w:rsid w:val="000819A7"/>
    <w:rsid w:val="000C6AB8"/>
    <w:rsid w:val="000D2E7B"/>
    <w:rsid w:val="000D5360"/>
    <w:rsid w:val="001025E0"/>
    <w:rsid w:val="00137900"/>
    <w:rsid w:val="00170C12"/>
    <w:rsid w:val="001A02FA"/>
    <w:rsid w:val="001B17A2"/>
    <w:rsid w:val="001C656C"/>
    <w:rsid w:val="00200C0B"/>
    <w:rsid w:val="00210AEF"/>
    <w:rsid w:val="00222A9D"/>
    <w:rsid w:val="00261AD1"/>
    <w:rsid w:val="00290043"/>
    <w:rsid w:val="0029600F"/>
    <w:rsid w:val="002E3F5B"/>
    <w:rsid w:val="002F56DB"/>
    <w:rsid w:val="002F58CB"/>
    <w:rsid w:val="0030156A"/>
    <w:rsid w:val="0031549C"/>
    <w:rsid w:val="003305D3"/>
    <w:rsid w:val="00334D26"/>
    <w:rsid w:val="00342D5A"/>
    <w:rsid w:val="003577D1"/>
    <w:rsid w:val="00366C7C"/>
    <w:rsid w:val="0037423E"/>
    <w:rsid w:val="0038480D"/>
    <w:rsid w:val="003963D1"/>
    <w:rsid w:val="003A061B"/>
    <w:rsid w:val="003E0667"/>
    <w:rsid w:val="003E3BCE"/>
    <w:rsid w:val="003F53EE"/>
    <w:rsid w:val="00425E30"/>
    <w:rsid w:val="00435661"/>
    <w:rsid w:val="004408C5"/>
    <w:rsid w:val="00460683"/>
    <w:rsid w:val="00471510"/>
    <w:rsid w:val="00487FFD"/>
    <w:rsid w:val="004C5E49"/>
    <w:rsid w:val="004E21A4"/>
    <w:rsid w:val="004E3921"/>
    <w:rsid w:val="004F5373"/>
    <w:rsid w:val="004F7F58"/>
    <w:rsid w:val="005310D5"/>
    <w:rsid w:val="00567E01"/>
    <w:rsid w:val="0057113D"/>
    <w:rsid w:val="0057581E"/>
    <w:rsid w:val="00590B34"/>
    <w:rsid w:val="005A6061"/>
    <w:rsid w:val="005A7C4B"/>
    <w:rsid w:val="005C3AEC"/>
    <w:rsid w:val="005C54F2"/>
    <w:rsid w:val="005C7EAE"/>
    <w:rsid w:val="005D0A62"/>
    <w:rsid w:val="005E33B9"/>
    <w:rsid w:val="00605CEC"/>
    <w:rsid w:val="00611640"/>
    <w:rsid w:val="0061570A"/>
    <w:rsid w:val="00620256"/>
    <w:rsid w:val="00627672"/>
    <w:rsid w:val="00633667"/>
    <w:rsid w:val="00660B43"/>
    <w:rsid w:val="00673492"/>
    <w:rsid w:val="0067374F"/>
    <w:rsid w:val="00677708"/>
    <w:rsid w:val="0069468D"/>
    <w:rsid w:val="006B1F4C"/>
    <w:rsid w:val="006F0E17"/>
    <w:rsid w:val="007771BF"/>
    <w:rsid w:val="007B779F"/>
    <w:rsid w:val="007C021A"/>
    <w:rsid w:val="007C71A3"/>
    <w:rsid w:val="007F2DBC"/>
    <w:rsid w:val="007F3CB4"/>
    <w:rsid w:val="00802002"/>
    <w:rsid w:val="008618ED"/>
    <w:rsid w:val="00870D43"/>
    <w:rsid w:val="00871C1D"/>
    <w:rsid w:val="008C458C"/>
    <w:rsid w:val="008C69B5"/>
    <w:rsid w:val="008E4AA4"/>
    <w:rsid w:val="008E4EA8"/>
    <w:rsid w:val="008F0060"/>
    <w:rsid w:val="008F3684"/>
    <w:rsid w:val="008F6F66"/>
    <w:rsid w:val="00925379"/>
    <w:rsid w:val="009428D7"/>
    <w:rsid w:val="00960A3C"/>
    <w:rsid w:val="00964C44"/>
    <w:rsid w:val="00983BAA"/>
    <w:rsid w:val="009978AE"/>
    <w:rsid w:val="009B3EEE"/>
    <w:rsid w:val="009B5BF0"/>
    <w:rsid w:val="009D0328"/>
    <w:rsid w:val="009D0ADA"/>
    <w:rsid w:val="00A06BAE"/>
    <w:rsid w:val="00A105C9"/>
    <w:rsid w:val="00A753D9"/>
    <w:rsid w:val="00AA43B9"/>
    <w:rsid w:val="00AA5C32"/>
    <w:rsid w:val="00B05611"/>
    <w:rsid w:val="00B45019"/>
    <w:rsid w:val="00B71332"/>
    <w:rsid w:val="00B73862"/>
    <w:rsid w:val="00B957B5"/>
    <w:rsid w:val="00BB2183"/>
    <w:rsid w:val="00BB5F67"/>
    <w:rsid w:val="00BD55CB"/>
    <w:rsid w:val="00C23696"/>
    <w:rsid w:val="00C30913"/>
    <w:rsid w:val="00C53222"/>
    <w:rsid w:val="00C60D64"/>
    <w:rsid w:val="00C67C6B"/>
    <w:rsid w:val="00C77BB1"/>
    <w:rsid w:val="00C801CD"/>
    <w:rsid w:val="00CB5425"/>
    <w:rsid w:val="00D675EC"/>
    <w:rsid w:val="00D91F1B"/>
    <w:rsid w:val="00DA4A96"/>
    <w:rsid w:val="00E04B34"/>
    <w:rsid w:val="00E12102"/>
    <w:rsid w:val="00E12F51"/>
    <w:rsid w:val="00E26365"/>
    <w:rsid w:val="00E3760F"/>
    <w:rsid w:val="00E7749D"/>
    <w:rsid w:val="00EB7F6A"/>
    <w:rsid w:val="00F02170"/>
    <w:rsid w:val="00F03293"/>
    <w:rsid w:val="00F302B1"/>
    <w:rsid w:val="00F31E7C"/>
    <w:rsid w:val="00F71542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569B"/>
  <w15:chartTrackingRefBased/>
  <w15:docId w15:val="{9893ECBC-F9DB-4361-A1EC-DCD74F4F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D6BACAA3782479BCC005665FBB8B9" ma:contentTypeVersion="" ma:contentTypeDescription="Create a new document." ma:contentTypeScope="" ma:versionID="94dbfa8e67930f6123770b18ecf98458">
  <xsd:schema xmlns:xsd="http://www.w3.org/2001/XMLSchema" xmlns:xs="http://www.w3.org/2001/XMLSchema" xmlns:p="http://schemas.microsoft.com/office/2006/metadata/properties" xmlns:ns2="fda4923d-3ae7-462d-8c5d-ecd9b4db9649" targetNamespace="http://schemas.microsoft.com/office/2006/metadata/properties" ma:root="true" ma:fieldsID="e80a520967cd7a2710d1d1d46a5b997f" ns2:_="">
    <xsd:import namespace="fda4923d-3ae7-462d-8c5d-ecd9b4db96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4923d-3ae7-462d-8c5d-ecd9b4db9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B3E72-B911-4AE5-8029-5936D2274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0554A4-5337-4B82-B631-86D3E3CAD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4923d-3ae7-462d-8c5d-ecd9b4db9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539D2-0CBE-447A-8719-0BC452B433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E6713-CB35-441E-B317-5E708FCA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Armend Muja</dc:creator>
  <cp:keywords/>
  <dc:description/>
  <cp:lastModifiedBy>Egzon Bajraktari</cp:lastModifiedBy>
  <cp:revision>56</cp:revision>
  <cp:lastPrinted>2020-03-05T08:42:00Z</cp:lastPrinted>
  <dcterms:created xsi:type="dcterms:W3CDTF">2020-10-30T10:54:00Z</dcterms:created>
  <dcterms:modified xsi:type="dcterms:W3CDTF">2024-05-02T15:05:00Z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0x010100756D6BACAA3782479BCC005665FBB8B9</vt:lpwstr>
  </property>
</Properties>
</file>