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1A9C6" w14:textId="37ACFB01" w:rsidR="0020482C" w:rsidRPr="006E6E39" w:rsidRDefault="001C617C" w:rsidP="000C6AB8">
      <w:pPr>
        <w:jc w:val="center"/>
        <w:rPr>
          <w:rFonts w:ascii="Swis721 Cn BT" w:hAnsi="Swis721 Cn BT" w:cs="Helvetica"/>
        </w:rPr>
      </w:pPr>
      <w:r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08941477" wp14:editId="7AAC1BA1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E7B3" w14:textId="77777777" w:rsidR="0020482C" w:rsidRPr="006E6E39" w:rsidRDefault="0020482C" w:rsidP="000C6AB8">
      <w:pPr>
        <w:jc w:val="center"/>
        <w:rPr>
          <w:rFonts w:ascii="Helvetica" w:hAnsi="Helvetica" w:cs="Helvetica"/>
          <w:sz w:val="16"/>
          <w:szCs w:val="16"/>
        </w:rPr>
      </w:pPr>
      <w:r w:rsidRPr="006E6E39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75977E8A" w14:textId="77777777" w:rsidR="0020482C" w:rsidRPr="006E6E39" w:rsidRDefault="0020482C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6E6E39">
        <w:rPr>
          <w:rFonts w:ascii="Tahoma" w:hAnsi="Tahoma" w:cs="Tahoma"/>
          <w:b/>
          <w:sz w:val="24"/>
          <w:szCs w:val="24"/>
        </w:rPr>
        <w:t>Syllabus</w:t>
      </w:r>
    </w:p>
    <w:p w14:paraId="4FDE5D08" w14:textId="77777777" w:rsidR="0020482C" w:rsidRPr="006E6E39" w:rsidRDefault="0020482C" w:rsidP="004C4CBB">
      <w:pPr>
        <w:jc w:val="center"/>
        <w:rPr>
          <w:rFonts w:ascii="Tahoma" w:hAnsi="Tahoma" w:cs="Tahoma"/>
          <w:b/>
          <w:sz w:val="24"/>
          <w:szCs w:val="24"/>
        </w:rPr>
      </w:pPr>
      <w:r w:rsidRPr="006E6E39">
        <w:rPr>
          <w:rFonts w:ascii="Tahoma" w:hAnsi="Tahoma" w:cs="Tahoma"/>
          <w:b/>
          <w:sz w:val="24"/>
          <w:szCs w:val="24"/>
        </w:rPr>
        <w:t xml:space="preserve">BSc Architecture and Spatial Planning </w:t>
      </w:r>
    </w:p>
    <w:p w14:paraId="20A3E123" w14:textId="77777777" w:rsidR="0020482C" w:rsidRPr="006E6E39" w:rsidRDefault="0020482C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A0" w:firstRow="1" w:lastRow="0" w:firstColumn="1" w:lastColumn="0" w:noHBand="0" w:noVBand="0"/>
      </w:tblPr>
      <w:tblGrid>
        <w:gridCol w:w="1561"/>
        <w:gridCol w:w="3496"/>
        <w:gridCol w:w="1782"/>
        <w:gridCol w:w="1679"/>
        <w:gridCol w:w="1552"/>
      </w:tblGrid>
      <w:tr w:rsidR="0020482C" w:rsidRPr="006E6E39" w14:paraId="4E0B2F60" w14:textId="77777777" w:rsidTr="00145C38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00BE67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19954239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9" w:type="dxa"/>
            <w:gridSpan w:val="4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vAlign w:val="center"/>
          </w:tcPr>
          <w:p w14:paraId="0E1A3F28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FF588B9" w14:textId="54D19821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HOUSING</w:t>
            </w:r>
            <w:r w:rsidR="005D3E09" w:rsidRPr="006E6E39">
              <w:rPr>
                <w:rFonts w:ascii="Arial" w:hAnsi="Arial" w:cs="Arial"/>
                <w:b/>
                <w:sz w:val="17"/>
                <w:szCs w:val="17"/>
              </w:rPr>
              <w:t xml:space="preserve"> 1</w:t>
            </w:r>
          </w:p>
          <w:p w14:paraId="298AD49C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482C" w:rsidRPr="006E6E39" w14:paraId="3B4848C3" w14:textId="77777777" w:rsidTr="00BB094D">
        <w:trPr>
          <w:trHeight w:hRule="exact" w:val="28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255363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8FCCAD1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34FD8333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9F1C1B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063D2D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2D65F3D7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0482C" w:rsidRPr="006E6E39" w14:paraId="70183FDD" w14:textId="77777777" w:rsidTr="00BB094D">
        <w:trPr>
          <w:trHeight w:hRule="exact" w:val="28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F1C2985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7F7F7F"/>
              <w:right w:val="nil"/>
            </w:tcBorders>
            <w:vAlign w:val="center"/>
          </w:tcPr>
          <w:p w14:paraId="5671B47F" w14:textId="105D7105" w:rsidR="0020482C" w:rsidRPr="006E6E39" w:rsidRDefault="00377533" w:rsidP="00FD16CA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MANDATORY</w:t>
            </w:r>
            <w:r w:rsidR="0020482C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(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 w:rsidR="0020482C" w:rsidRPr="006E6E39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63265C87" w14:textId="77777777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1B89290" w14:textId="3F190FC9" w:rsidR="0020482C" w:rsidRPr="006E6E39" w:rsidRDefault="00377533" w:rsidP="00FD16CA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0DB9141" w14:textId="1653E8DB" w:rsidR="0020482C" w:rsidRPr="006E6E39" w:rsidRDefault="00377533" w:rsidP="00FD16CA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2603683" w14:textId="683A37CA" w:rsidR="0020482C" w:rsidRPr="006E6E39" w:rsidRDefault="0020482C" w:rsidP="00FD16CA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30-</w:t>
            </w:r>
            <w:r w:rsidR="00377533" w:rsidRPr="006E6E39">
              <w:rPr>
                <w:rFonts w:ascii="Arial" w:hAnsi="Arial" w:cs="Arial"/>
                <w:color w:val="404040"/>
                <w:sz w:val="17"/>
                <w:szCs w:val="17"/>
              </w:rPr>
              <w:t>HOU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-353</w:t>
            </w:r>
          </w:p>
        </w:tc>
      </w:tr>
      <w:tr w:rsidR="00AD3473" w:rsidRPr="006E6E39" w14:paraId="141D42B7" w14:textId="77777777" w:rsidTr="00145C38">
        <w:trPr>
          <w:trHeight w:hRule="exact" w:val="28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6D570049" w14:textId="77777777" w:rsidR="00AD3473" w:rsidRPr="006E6E39" w:rsidRDefault="00AD3473" w:rsidP="00AD347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8509" w:type="dxa"/>
            <w:gridSpan w:val="4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7F7F7F"/>
            </w:tcBorders>
            <w:vAlign w:val="center"/>
          </w:tcPr>
          <w:p w14:paraId="3DB2EC3A" w14:textId="441BE108" w:rsidR="00AD3473" w:rsidRPr="006E6E39" w:rsidRDefault="0030467A" w:rsidP="00AD347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 xml:space="preserve">Prof. </w:t>
            </w:r>
            <w:r w:rsidRPr="00E723C8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Banush Shyqeriu, can. Dr., M.Arch.</w:t>
            </w:r>
          </w:p>
        </w:tc>
      </w:tr>
      <w:tr w:rsidR="00AD3473" w:rsidRPr="006E6E39" w14:paraId="3F7F1ACC" w14:textId="77777777" w:rsidTr="00145C38">
        <w:trPr>
          <w:trHeight w:hRule="exact" w:val="459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4195318F" w14:textId="77777777" w:rsidR="00AD3473" w:rsidRPr="006E6E39" w:rsidRDefault="00AD3473" w:rsidP="00AD347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85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vAlign w:val="center"/>
          </w:tcPr>
          <w:p w14:paraId="139B14F1" w14:textId="2E9A37FB" w:rsidR="00AD3473" w:rsidRPr="006E6E39" w:rsidRDefault="0030467A" w:rsidP="00AD347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 xml:space="preserve">MSc. </w:t>
            </w:r>
            <w:r w:rsidRPr="00E723C8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Driton Lleshi</w:t>
            </w: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,</w:t>
            </w:r>
            <w:r w:rsidRPr="00E723C8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 xml:space="preserve"> IDA</w:t>
            </w: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;</w:t>
            </w:r>
            <w:r w:rsidRPr="00E723C8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 xml:space="preserve"> MSc</w:t>
            </w: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.</w:t>
            </w:r>
            <w:r w:rsidRPr="00E723C8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 xml:space="preserve"> </w:t>
            </w:r>
            <w:r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Rineta Jashari, can. Dr.</w:t>
            </w:r>
          </w:p>
        </w:tc>
      </w:tr>
      <w:tr w:rsidR="00AD3473" w:rsidRPr="006E6E39" w14:paraId="02CF3C5B" w14:textId="77777777" w:rsidTr="00145C38">
        <w:trPr>
          <w:trHeight w:hRule="exact" w:val="28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33D543" w14:textId="77777777" w:rsidR="00AD3473" w:rsidRPr="006E6E39" w:rsidRDefault="00AD3473" w:rsidP="00AD347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8509" w:type="dxa"/>
            <w:gridSpan w:val="4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8913F5" w14:textId="70E3040E" w:rsidR="00AD3473" w:rsidRPr="006E6E39" w:rsidRDefault="00AD3473" w:rsidP="00AD347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proofErr w:type="spellStart"/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n.n</w:t>
            </w:r>
            <w:proofErr w:type="spellEnd"/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.</w:t>
            </w:r>
          </w:p>
        </w:tc>
      </w:tr>
      <w:tr w:rsidR="0020482C" w:rsidRPr="006E6E39" w14:paraId="460953E5" w14:textId="77777777" w:rsidTr="00145C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4B11D3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8509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51F7BBC8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color w:val="404040"/>
                <w:sz w:val="12"/>
                <w:szCs w:val="12"/>
              </w:rPr>
            </w:pPr>
          </w:p>
          <w:p w14:paraId="27EBB702" w14:textId="2BC8A3E9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Conceived and spread into interconnected modules, the subject of HOUSING</w:t>
            </w:r>
            <w:r w:rsidR="00377533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1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intends to construct a solid framework of knowledge </w:t>
            </w:r>
            <w:r w:rsidR="00377533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on Housing 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for undergraduate studies in architecture, also providing additional references for expanding the knowledge in further studies and in practice. Remaining 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 xml:space="preserve">as 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one of the most experimental and 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>challenging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undertakings in the domain of architecture, HOUSING as a subject is 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 xml:space="preserve">delivered and 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managed very practically within global and local constraints, standards, regulations and trends. Understanding the (urban</w:t>
            </w:r>
            <w:r w:rsidR="003D637B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and 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>suburban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) context of </w:t>
            </w:r>
            <w:r w:rsidR="003D637B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planning and 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development, the concepts of design, principles and criteria of HOUSING projects of diverse scales, patterns and complexities, constitutes the basis of this course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>, run in a format of integrated studio with lectures and projects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. Meanwhile, materiality, construction, structures and social, cultural patterns as well as sustainability, constitutes the holistic and the </w:t>
            </w:r>
            <w:r w:rsidR="008B636D" w:rsidRPr="006E6E39">
              <w:rPr>
                <w:rFonts w:ascii="Arial" w:hAnsi="Arial" w:cs="Arial"/>
                <w:color w:val="404040"/>
                <w:sz w:val="17"/>
                <w:szCs w:val="17"/>
              </w:rPr>
              <w:t>extended</w:t>
            </w: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goal of acquiring knowledge and operational application for highly qualitative residential design within local and regional constraints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 xml:space="preserve">. </w:t>
            </w:r>
          </w:p>
          <w:p w14:paraId="18D888EB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color w:val="404040"/>
                <w:sz w:val="12"/>
                <w:szCs w:val="12"/>
              </w:rPr>
            </w:pPr>
          </w:p>
        </w:tc>
      </w:tr>
      <w:tr w:rsidR="0020482C" w:rsidRPr="006E6E39" w14:paraId="14DB9E63" w14:textId="77777777" w:rsidTr="00145C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E45EB1" w14:textId="77777777" w:rsidR="0020482C" w:rsidRPr="006E6E39" w:rsidRDefault="0020482C" w:rsidP="00FD16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E6E39"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509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4A1198B9" w14:textId="17A406D5" w:rsidR="0020482C" w:rsidRPr="006E6E39" w:rsidRDefault="00377533" w:rsidP="00C11A51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6E6E39">
              <w:rPr>
                <w:rFonts w:ascii="Arial" w:hAnsi="Arial" w:cs="Arial"/>
                <w:color w:val="404040"/>
                <w:sz w:val="17"/>
                <w:szCs w:val="17"/>
              </w:rPr>
              <w:t>Upon completion of this course</w:t>
            </w:r>
            <w:r w:rsidR="0020482C" w:rsidRPr="006E6E39">
              <w:rPr>
                <w:rFonts w:ascii="Arial" w:hAnsi="Arial" w:cs="Arial"/>
                <w:color w:val="404040"/>
                <w:sz w:val="17"/>
                <w:szCs w:val="17"/>
              </w:rPr>
              <w:t>, students will be prepared for analytical approach and a solid framework of design, planning and development strategies for residential buildings, which study framework provides significant materials and potential</w:t>
            </w:r>
            <w:r w:rsidR="00D13628">
              <w:rPr>
                <w:rFonts w:ascii="Arial" w:hAnsi="Arial" w:cs="Arial"/>
                <w:color w:val="404040"/>
                <w:sz w:val="17"/>
                <w:szCs w:val="17"/>
              </w:rPr>
              <w:t>s</w:t>
            </w:r>
            <w:r w:rsidR="0020482C" w:rsidRPr="006E6E39">
              <w:rPr>
                <w:rFonts w:ascii="Arial" w:hAnsi="Arial" w:cs="Arial"/>
                <w:color w:val="404040"/>
                <w:sz w:val="17"/>
                <w:szCs w:val="17"/>
              </w:rPr>
              <w:t xml:space="preserve"> for independent further studies. After successful completion of this course, students are expected: </w:t>
            </w:r>
          </w:p>
          <w:p w14:paraId="201CC4C1" w14:textId="77777777" w:rsidR="00C11A51" w:rsidRPr="006E6E39" w:rsidRDefault="00C11A51" w:rsidP="00C11A51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0AB4E7E6" w14:textId="084237D5" w:rsidR="00C11A51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377533" w:rsidRPr="006E6E39">
              <w:rPr>
                <w:rFonts w:ascii="Arial" w:hAnsi="Arial" w:cs="Arial"/>
                <w:sz w:val="17"/>
                <w:szCs w:val="17"/>
              </w:rPr>
              <w:t xml:space="preserve">Gain new </w:t>
            </w:r>
            <w:r w:rsidRPr="006E6E39">
              <w:rPr>
                <w:rFonts w:ascii="Arial" w:hAnsi="Arial" w:cs="Arial"/>
                <w:sz w:val="17"/>
                <w:szCs w:val="17"/>
              </w:rPr>
              <w:t>and expanded knowledge in the field of Housing</w:t>
            </w:r>
          </w:p>
          <w:p w14:paraId="5931167B" w14:textId="6B0B7F38" w:rsidR="00C11A51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Developing creative problem-solving</w:t>
            </w:r>
            <w:r w:rsidR="00377533" w:rsidRPr="006E6E39">
              <w:rPr>
                <w:rFonts w:ascii="Arial" w:hAnsi="Arial" w:cs="Arial"/>
                <w:sz w:val="17"/>
                <w:szCs w:val="17"/>
              </w:rPr>
              <w:t xml:space="preserve"> and "design thinking"</w:t>
            </w:r>
            <w:r w:rsidRPr="006E6E39">
              <w:rPr>
                <w:rFonts w:ascii="Arial" w:hAnsi="Arial" w:cs="Arial"/>
                <w:sz w:val="17"/>
                <w:szCs w:val="17"/>
              </w:rPr>
              <w:t xml:space="preserve"> skills</w:t>
            </w:r>
          </w:p>
          <w:p w14:paraId="09BACAFA" w14:textId="04529DC4" w:rsidR="00C11A51" w:rsidRPr="006E6E39" w:rsidRDefault="00C11A51" w:rsidP="00377533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Develop</w:t>
            </w:r>
            <w:r w:rsidR="001B2B06" w:rsidRPr="006E6E39">
              <w:rPr>
                <w:rFonts w:ascii="Arial" w:hAnsi="Arial" w:cs="Arial"/>
                <w:sz w:val="17"/>
                <w:szCs w:val="17"/>
              </w:rPr>
              <w:t>ing</w:t>
            </w:r>
            <w:r w:rsidRPr="006E6E39">
              <w:rPr>
                <w:rFonts w:ascii="Arial" w:hAnsi="Arial" w:cs="Arial"/>
                <w:sz w:val="17"/>
                <w:szCs w:val="17"/>
              </w:rPr>
              <w:t xml:space="preserve"> of analytical approach - architectural and urban analysis</w:t>
            </w:r>
          </w:p>
          <w:p w14:paraId="5E098F71" w14:textId="289771B6" w:rsidR="00C11A51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Develop</w:t>
            </w:r>
            <w:r w:rsidR="001B2B06" w:rsidRPr="006E6E39">
              <w:rPr>
                <w:rFonts w:ascii="Arial" w:hAnsi="Arial" w:cs="Arial"/>
                <w:sz w:val="17"/>
                <w:szCs w:val="17"/>
              </w:rPr>
              <w:t>ing</w:t>
            </w:r>
            <w:r w:rsidRPr="006E6E39">
              <w:rPr>
                <w:rFonts w:ascii="Arial" w:hAnsi="Arial" w:cs="Arial"/>
                <w:sz w:val="17"/>
                <w:szCs w:val="17"/>
              </w:rPr>
              <w:t xml:space="preserve"> problem solving directly in context and out of context as generative drivers</w:t>
            </w:r>
          </w:p>
          <w:p w14:paraId="2375C265" w14:textId="77777777" w:rsidR="00C11A51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Using diagrams and models as analytical and generative tools in problem solving</w:t>
            </w:r>
          </w:p>
          <w:p w14:paraId="38239298" w14:textId="56C2ECF9" w:rsidR="001B2B06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1B2B06" w:rsidRPr="006E6E39">
              <w:rPr>
                <w:rFonts w:ascii="Arial" w:hAnsi="Arial" w:cs="Arial"/>
                <w:sz w:val="17"/>
                <w:szCs w:val="17"/>
              </w:rPr>
              <w:t>Familiarity with innovative patterns of functional organization of living spaces</w:t>
            </w:r>
          </w:p>
          <w:p w14:paraId="1F9F115B" w14:textId="4C1D3424" w:rsidR="001B2B06" w:rsidRPr="006E6E39" w:rsidRDefault="001B2B06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Familiarity with Urban Norms, Standards and Regulations of residential architecture development</w:t>
            </w:r>
          </w:p>
          <w:p w14:paraId="517B7175" w14:textId="20F4211F" w:rsidR="00C11A51" w:rsidRPr="006E6E39" w:rsidRDefault="001B2B06" w:rsidP="001B2B06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Competences</w:t>
            </w:r>
            <w:r w:rsidR="00C11A51" w:rsidRPr="006E6E3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E6E39">
              <w:rPr>
                <w:rFonts w:ascii="Arial" w:hAnsi="Arial" w:cs="Arial"/>
                <w:sz w:val="17"/>
                <w:szCs w:val="17"/>
              </w:rPr>
              <w:t>on</w:t>
            </w:r>
            <w:r w:rsidR="00C11A51" w:rsidRPr="006E6E39">
              <w:rPr>
                <w:rFonts w:ascii="Arial" w:hAnsi="Arial" w:cs="Arial"/>
                <w:sz w:val="17"/>
                <w:szCs w:val="17"/>
              </w:rPr>
              <w:t xml:space="preserve"> expanded design and planning principles</w:t>
            </w:r>
            <w:r w:rsidRPr="006E6E39">
              <w:rPr>
                <w:rFonts w:ascii="Arial" w:hAnsi="Arial" w:cs="Arial"/>
                <w:sz w:val="17"/>
                <w:szCs w:val="17"/>
              </w:rPr>
              <w:t xml:space="preserve"> as well as </w:t>
            </w:r>
            <w:r w:rsidR="00C11A51" w:rsidRPr="006E6E39">
              <w:rPr>
                <w:rFonts w:ascii="Arial" w:hAnsi="Arial" w:cs="Arial"/>
                <w:sz w:val="17"/>
                <w:szCs w:val="17"/>
              </w:rPr>
              <w:t xml:space="preserve">the basic principles of Urban Design in the development of residential architecture </w:t>
            </w:r>
          </w:p>
          <w:p w14:paraId="617306E0" w14:textId="50A7785B" w:rsidR="0020482C" w:rsidRPr="006E6E39" w:rsidRDefault="00C11A51" w:rsidP="00C11A51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6E6E39">
              <w:rPr>
                <w:rFonts w:ascii="Arial" w:hAnsi="Arial" w:cs="Arial"/>
                <w:sz w:val="17"/>
                <w:szCs w:val="17"/>
              </w:rPr>
              <w:t>- Finally, synthesizing the three main variables of architecture development: Need, Context and Form</w:t>
            </w:r>
          </w:p>
        </w:tc>
      </w:tr>
    </w:tbl>
    <w:p w14:paraId="787701FC" w14:textId="77777777" w:rsidR="0020482C" w:rsidRPr="006E6E39" w:rsidRDefault="0020482C" w:rsidP="00FC4673">
      <w:bookmarkStart w:id="0" w:name="_GoBack"/>
      <w:bookmarkEnd w:id="0"/>
    </w:p>
    <w:sectPr w:rsidR="0020482C" w:rsidRPr="006E6E39" w:rsidSect="003B7D94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012B5"/>
    <w:multiLevelType w:val="hybridMultilevel"/>
    <w:tmpl w:val="0A96636E"/>
    <w:lvl w:ilvl="0" w:tplc="F7DA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61C25"/>
    <w:multiLevelType w:val="hybridMultilevel"/>
    <w:tmpl w:val="B8AE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F53D7A"/>
    <w:multiLevelType w:val="hybridMultilevel"/>
    <w:tmpl w:val="3DFC4E6E"/>
    <w:lvl w:ilvl="0" w:tplc="4B14B7D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26C7C"/>
    <w:multiLevelType w:val="hybridMultilevel"/>
    <w:tmpl w:val="D9CAB618"/>
    <w:lvl w:ilvl="0" w:tplc="2F08A8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1F26AE"/>
    <w:multiLevelType w:val="multilevel"/>
    <w:tmpl w:val="179E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A6CB4"/>
    <w:multiLevelType w:val="hybridMultilevel"/>
    <w:tmpl w:val="52F87034"/>
    <w:lvl w:ilvl="0" w:tplc="C8A8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468E8"/>
    <w:multiLevelType w:val="hybridMultilevel"/>
    <w:tmpl w:val="CE947D62"/>
    <w:lvl w:ilvl="0" w:tplc="B8A895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43C42"/>
    <w:multiLevelType w:val="multilevel"/>
    <w:tmpl w:val="646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84F52"/>
    <w:multiLevelType w:val="hybridMultilevel"/>
    <w:tmpl w:val="900A5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9E00F8"/>
    <w:multiLevelType w:val="hybridMultilevel"/>
    <w:tmpl w:val="0E1CBDFA"/>
    <w:lvl w:ilvl="0" w:tplc="4B14B7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224"/>
    <w:multiLevelType w:val="hybridMultilevel"/>
    <w:tmpl w:val="BCF8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53F5"/>
    <w:multiLevelType w:val="hybridMultilevel"/>
    <w:tmpl w:val="2A00BAE6"/>
    <w:lvl w:ilvl="0" w:tplc="4B14B7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44611"/>
    <w:multiLevelType w:val="hybridMultilevel"/>
    <w:tmpl w:val="1F5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0048E"/>
    <w:multiLevelType w:val="hybridMultilevel"/>
    <w:tmpl w:val="BB94A02A"/>
    <w:lvl w:ilvl="0" w:tplc="F664ECAA">
      <w:start w:val="1"/>
      <w:numFmt w:val="decimal"/>
      <w:lvlText w:val="%1."/>
      <w:lvlJc w:val="left"/>
      <w:pPr>
        <w:ind w:left="947" w:hanging="360"/>
      </w:pPr>
      <w:rPr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0000199"/>
    <w:multiLevelType w:val="hybridMultilevel"/>
    <w:tmpl w:val="B3ECE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4373"/>
    <w:rsid w:val="00004A6E"/>
    <w:rsid w:val="000101D1"/>
    <w:rsid w:val="0003134B"/>
    <w:rsid w:val="00042E3E"/>
    <w:rsid w:val="00062DEC"/>
    <w:rsid w:val="000819A7"/>
    <w:rsid w:val="00092A5F"/>
    <w:rsid w:val="000C6AB8"/>
    <w:rsid w:val="00114749"/>
    <w:rsid w:val="00145C38"/>
    <w:rsid w:val="001959F8"/>
    <w:rsid w:val="001B2B06"/>
    <w:rsid w:val="001C0BFE"/>
    <w:rsid w:val="001C617C"/>
    <w:rsid w:val="001D292F"/>
    <w:rsid w:val="001E013E"/>
    <w:rsid w:val="00200878"/>
    <w:rsid w:val="0020482C"/>
    <w:rsid w:val="00210AEF"/>
    <w:rsid w:val="00236CE5"/>
    <w:rsid w:val="00277209"/>
    <w:rsid w:val="002B4937"/>
    <w:rsid w:val="002C03E5"/>
    <w:rsid w:val="0030467A"/>
    <w:rsid w:val="003305D3"/>
    <w:rsid w:val="00377533"/>
    <w:rsid w:val="003B7D94"/>
    <w:rsid w:val="003C0D90"/>
    <w:rsid w:val="003D49E1"/>
    <w:rsid w:val="003D637B"/>
    <w:rsid w:val="003D6BC3"/>
    <w:rsid w:val="00406B95"/>
    <w:rsid w:val="00447E85"/>
    <w:rsid w:val="004953EB"/>
    <w:rsid w:val="004A5614"/>
    <w:rsid w:val="004B0C1B"/>
    <w:rsid w:val="004C4CBB"/>
    <w:rsid w:val="004F7423"/>
    <w:rsid w:val="00507C3C"/>
    <w:rsid w:val="00543CF7"/>
    <w:rsid w:val="005576E9"/>
    <w:rsid w:val="005D3E09"/>
    <w:rsid w:val="005F26FB"/>
    <w:rsid w:val="00605CEC"/>
    <w:rsid w:val="0067374F"/>
    <w:rsid w:val="006E6E39"/>
    <w:rsid w:val="006F2CC6"/>
    <w:rsid w:val="007665F0"/>
    <w:rsid w:val="007E0D2A"/>
    <w:rsid w:val="007E4B53"/>
    <w:rsid w:val="007E58FC"/>
    <w:rsid w:val="00804515"/>
    <w:rsid w:val="008322FF"/>
    <w:rsid w:val="00845DF5"/>
    <w:rsid w:val="00856632"/>
    <w:rsid w:val="008B2520"/>
    <w:rsid w:val="008B636D"/>
    <w:rsid w:val="008D7CC0"/>
    <w:rsid w:val="00900396"/>
    <w:rsid w:val="00941850"/>
    <w:rsid w:val="009428D7"/>
    <w:rsid w:val="009651B6"/>
    <w:rsid w:val="009D1F80"/>
    <w:rsid w:val="00A44ECE"/>
    <w:rsid w:val="00A53277"/>
    <w:rsid w:val="00A6029D"/>
    <w:rsid w:val="00A62624"/>
    <w:rsid w:val="00AB2EF4"/>
    <w:rsid w:val="00AD3473"/>
    <w:rsid w:val="00B05AE1"/>
    <w:rsid w:val="00B110FF"/>
    <w:rsid w:val="00B4696A"/>
    <w:rsid w:val="00B668DC"/>
    <w:rsid w:val="00B676C3"/>
    <w:rsid w:val="00BA60FC"/>
    <w:rsid w:val="00BB094D"/>
    <w:rsid w:val="00C11A51"/>
    <w:rsid w:val="00C336E6"/>
    <w:rsid w:val="00C7664F"/>
    <w:rsid w:val="00CC6E92"/>
    <w:rsid w:val="00CD4007"/>
    <w:rsid w:val="00D0366B"/>
    <w:rsid w:val="00D11DE3"/>
    <w:rsid w:val="00D13628"/>
    <w:rsid w:val="00D66F98"/>
    <w:rsid w:val="00D92E9C"/>
    <w:rsid w:val="00E0398B"/>
    <w:rsid w:val="00E06662"/>
    <w:rsid w:val="00E12F51"/>
    <w:rsid w:val="00E30820"/>
    <w:rsid w:val="00E747A4"/>
    <w:rsid w:val="00EB7725"/>
    <w:rsid w:val="00EC37A5"/>
    <w:rsid w:val="00F0011A"/>
    <w:rsid w:val="00F006D7"/>
    <w:rsid w:val="00F628EA"/>
    <w:rsid w:val="00F853B4"/>
    <w:rsid w:val="00FC2BBB"/>
    <w:rsid w:val="00FC4673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70D6C"/>
  <w15:docId w15:val="{7DBA7C95-8414-44D2-A421-B84EB3D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06D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A62624"/>
    <w:rPr>
      <w:rFonts w:cs="Times New Roman"/>
      <w:color w:val="0563C1"/>
      <w:u w:val="single"/>
    </w:rPr>
  </w:style>
  <w:style w:type="character" w:customStyle="1" w:styleId="addmd1">
    <w:name w:val="addmd1"/>
    <w:uiPriority w:val="99"/>
    <w:rsid w:val="00A62624"/>
    <w:rPr>
      <w:rFonts w:cs="Times New Roman"/>
      <w:sz w:val="20"/>
      <w:szCs w:val="20"/>
    </w:rPr>
  </w:style>
  <w:style w:type="paragraph" w:customStyle="1" w:styleId="Default">
    <w:name w:val="Default"/>
    <w:rsid w:val="00CD40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C467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7</cp:revision>
  <cp:lastPrinted>2017-10-11T09:09:00Z</cp:lastPrinted>
  <dcterms:created xsi:type="dcterms:W3CDTF">2024-02-26T20:15:00Z</dcterms:created>
  <dcterms:modified xsi:type="dcterms:W3CDTF">2024-05-02T12:45:00Z</dcterms:modified>
</cp:coreProperties>
</file>