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59BC" w14:textId="77777777" w:rsidR="003E7F67" w:rsidRPr="002D356F" w:rsidRDefault="00A572B0">
      <w:pPr>
        <w:pStyle w:val="BodyText"/>
        <w:ind w:left="4675"/>
        <w:rPr>
          <w:rFonts w:cs="Arabic Typesetting"/>
          <w:sz w:val="20"/>
        </w:rPr>
      </w:pPr>
      <w:r w:rsidRPr="002D356F">
        <w:rPr>
          <w:rFonts w:cs="Arabic Typesetting"/>
          <w:noProof/>
          <w:sz w:val="20"/>
          <w:lang w:val="en-GB" w:eastAsia="en-GB"/>
        </w:rPr>
        <w:drawing>
          <wp:inline distT="0" distB="0" distL="0" distR="0" wp14:anchorId="6D46E1D5" wp14:editId="53529433">
            <wp:extent cx="651817" cy="661797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17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5897" w14:textId="77777777" w:rsidR="003E7F67" w:rsidRPr="002D356F" w:rsidRDefault="003E7F67">
      <w:pPr>
        <w:pStyle w:val="BodyText"/>
        <w:rPr>
          <w:rFonts w:cs="Arabic Typesetting"/>
          <w:sz w:val="11"/>
        </w:rPr>
      </w:pPr>
    </w:p>
    <w:p w14:paraId="283063C9" w14:textId="77777777" w:rsidR="003E7F67" w:rsidRPr="002D356F" w:rsidRDefault="00A572B0">
      <w:pPr>
        <w:pStyle w:val="BodyText"/>
        <w:spacing w:before="96"/>
        <w:ind w:left="601" w:right="379"/>
        <w:jc w:val="center"/>
        <w:rPr>
          <w:rFonts w:cs="Arabic Typesetting"/>
        </w:rPr>
      </w:pPr>
      <w:r w:rsidRPr="002D356F">
        <w:rPr>
          <w:rFonts w:cs="Arabic Typesetting"/>
        </w:rPr>
        <w:t>…………………………………………………………………………………………………………………………………………………………</w:t>
      </w:r>
    </w:p>
    <w:p w14:paraId="6370E212" w14:textId="77777777" w:rsidR="003E7F67" w:rsidRPr="002D356F" w:rsidRDefault="003E7F67">
      <w:pPr>
        <w:pStyle w:val="BodyText"/>
        <w:spacing w:before="2"/>
        <w:rPr>
          <w:rFonts w:cs="Arabic Typesetting"/>
          <w:sz w:val="15"/>
        </w:rPr>
      </w:pPr>
    </w:p>
    <w:p w14:paraId="4392A23C" w14:textId="77777777" w:rsidR="003F68C7" w:rsidRPr="002D356F" w:rsidRDefault="003F68C7" w:rsidP="003F68C7">
      <w:pPr>
        <w:pStyle w:val="Title"/>
        <w:spacing w:before="183"/>
        <w:rPr>
          <w:rFonts w:ascii="Arial MT" w:hAnsi="Arial MT" w:cs="Arabic Typesetting"/>
        </w:rPr>
      </w:pPr>
      <w:r w:rsidRPr="002D356F">
        <w:rPr>
          <w:rFonts w:ascii="Arial MT" w:hAnsi="Arial MT" w:cs="Arabic Typesetting"/>
        </w:rPr>
        <w:t>BSc</w:t>
      </w:r>
      <w:r w:rsidRPr="002D356F">
        <w:rPr>
          <w:rFonts w:ascii="Arial MT" w:hAnsi="Arial MT" w:cs="Arabic Typesetting"/>
          <w:spacing w:val="-2"/>
        </w:rPr>
        <w:t xml:space="preserve"> </w:t>
      </w:r>
      <w:r w:rsidRPr="002D356F">
        <w:rPr>
          <w:rFonts w:ascii="Arial MT" w:hAnsi="Arial MT" w:cs="Arabic Typesetting"/>
        </w:rPr>
        <w:t>Architecture</w:t>
      </w:r>
      <w:r w:rsidRPr="002D356F">
        <w:rPr>
          <w:rFonts w:ascii="Arial MT" w:hAnsi="Arial MT" w:cs="Arabic Typesetting"/>
          <w:spacing w:val="-3"/>
        </w:rPr>
        <w:t xml:space="preserve"> </w:t>
      </w:r>
      <w:r w:rsidRPr="002D356F">
        <w:rPr>
          <w:rFonts w:ascii="Arial MT" w:hAnsi="Arial MT" w:cs="Arabic Typesetting"/>
        </w:rPr>
        <w:t>and</w:t>
      </w:r>
      <w:r w:rsidRPr="002D356F">
        <w:rPr>
          <w:rFonts w:ascii="Arial MT" w:hAnsi="Arial MT" w:cs="Arabic Typesetting"/>
          <w:spacing w:val="-3"/>
        </w:rPr>
        <w:t xml:space="preserve"> </w:t>
      </w:r>
      <w:r w:rsidRPr="002D356F">
        <w:rPr>
          <w:rFonts w:ascii="Arial MT" w:hAnsi="Arial MT" w:cs="Arabic Typesetting"/>
        </w:rPr>
        <w:t>Spatial</w:t>
      </w:r>
      <w:r w:rsidRPr="002D356F">
        <w:rPr>
          <w:rFonts w:ascii="Arial MT" w:hAnsi="Arial MT" w:cs="Arabic Typesetting"/>
          <w:spacing w:val="-3"/>
        </w:rPr>
        <w:t xml:space="preserve"> </w:t>
      </w:r>
      <w:r w:rsidRPr="002D356F">
        <w:rPr>
          <w:rFonts w:ascii="Arial MT" w:hAnsi="Arial MT" w:cs="Arabic Typesetting"/>
        </w:rPr>
        <w:t>Planning</w:t>
      </w:r>
    </w:p>
    <w:p w14:paraId="5F90F6AD" w14:textId="77777777" w:rsidR="003F68C7" w:rsidRPr="002D356F" w:rsidRDefault="003F68C7">
      <w:pPr>
        <w:pStyle w:val="Title"/>
        <w:rPr>
          <w:rFonts w:ascii="Arial MT" w:hAnsi="Arial MT" w:cs="Arabic Typesetting"/>
        </w:rPr>
      </w:pPr>
    </w:p>
    <w:p w14:paraId="7C9DB463" w14:textId="6B66BDEC" w:rsidR="003E7F67" w:rsidRPr="002D356F" w:rsidRDefault="00A572B0">
      <w:pPr>
        <w:pStyle w:val="Title"/>
        <w:rPr>
          <w:rFonts w:ascii="Arial MT" w:hAnsi="Arial MT" w:cs="Arabic Typesetting"/>
        </w:rPr>
      </w:pPr>
      <w:r w:rsidRPr="002D356F">
        <w:rPr>
          <w:rFonts w:ascii="Arial MT" w:hAnsi="Arial MT" w:cs="Arabic Typesetting"/>
        </w:rPr>
        <w:t>Syllabus</w:t>
      </w:r>
    </w:p>
    <w:p w14:paraId="264025AA" w14:textId="77777777" w:rsidR="003E7F67" w:rsidRPr="002D356F" w:rsidRDefault="003E7F67">
      <w:pPr>
        <w:pStyle w:val="BodyText"/>
        <w:rPr>
          <w:rFonts w:cs="Arabic Typesetting"/>
          <w:b/>
          <w:sz w:val="20"/>
        </w:rPr>
      </w:pPr>
    </w:p>
    <w:p w14:paraId="05F1B949" w14:textId="77777777" w:rsidR="003E7F67" w:rsidRPr="002D356F" w:rsidRDefault="003E7F67">
      <w:pPr>
        <w:pStyle w:val="BodyText"/>
        <w:rPr>
          <w:rFonts w:cs="Arabic Typesetting"/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793"/>
        <w:gridCol w:w="1260"/>
        <w:gridCol w:w="1258"/>
        <w:gridCol w:w="1792"/>
      </w:tblGrid>
      <w:tr w:rsidR="003E7F67" w:rsidRPr="002D356F" w14:paraId="0F9055E5" w14:textId="77777777" w:rsidTr="00A572B0">
        <w:trPr>
          <w:trHeight w:val="194"/>
        </w:trPr>
        <w:tc>
          <w:tcPr>
            <w:tcW w:w="1964" w:type="dxa"/>
            <w:vMerge w:val="restart"/>
            <w:shd w:val="clear" w:color="auto" w:fill="D9E1F3"/>
          </w:tcPr>
          <w:p w14:paraId="255DE6C9" w14:textId="77777777" w:rsidR="003E7F67" w:rsidRPr="002D356F" w:rsidRDefault="003E7F67">
            <w:pPr>
              <w:pStyle w:val="TableParagraph"/>
              <w:spacing w:before="7"/>
              <w:rPr>
                <w:rFonts w:cs="Arabic Typesetting"/>
                <w:b/>
                <w:sz w:val="15"/>
              </w:rPr>
            </w:pPr>
          </w:p>
          <w:p w14:paraId="1E6B6884" w14:textId="77777777" w:rsidR="003E7F67" w:rsidRPr="002D356F" w:rsidRDefault="00A572B0">
            <w:pPr>
              <w:pStyle w:val="TableParagraph"/>
              <w:ind w:left="107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Subject</w:t>
            </w:r>
          </w:p>
        </w:tc>
        <w:tc>
          <w:tcPr>
            <w:tcW w:w="8103" w:type="dxa"/>
            <w:gridSpan w:val="4"/>
          </w:tcPr>
          <w:p w14:paraId="19954BF9" w14:textId="77777777" w:rsidR="003E7F67" w:rsidRPr="002D356F" w:rsidRDefault="00A572B0">
            <w:pPr>
              <w:pStyle w:val="TableParagraph"/>
              <w:spacing w:line="174" w:lineRule="exact"/>
              <w:ind w:left="107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BUILDING</w:t>
            </w:r>
            <w:r w:rsidRPr="002D356F">
              <w:rPr>
                <w:rFonts w:cs="Arabic Typesetting"/>
                <w:b/>
                <w:spacing w:val="-2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LAW</w:t>
            </w:r>
            <w:r w:rsidRPr="002D356F">
              <w:rPr>
                <w:rFonts w:cs="Arabic Typesetting"/>
                <w:b/>
                <w:spacing w:val="-1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AND</w:t>
            </w:r>
            <w:r w:rsidRPr="002D356F">
              <w:rPr>
                <w:rFonts w:cs="Arabic Typesetting"/>
                <w:b/>
                <w:spacing w:val="-2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STANDARTS</w:t>
            </w:r>
          </w:p>
        </w:tc>
      </w:tr>
      <w:tr w:rsidR="003E7F67" w:rsidRPr="002D356F" w14:paraId="44F8A8AA" w14:textId="77777777" w:rsidTr="00A572B0">
        <w:trPr>
          <w:trHeight w:val="277"/>
        </w:trPr>
        <w:tc>
          <w:tcPr>
            <w:tcW w:w="1964" w:type="dxa"/>
            <w:vMerge/>
            <w:tcBorders>
              <w:top w:val="nil"/>
            </w:tcBorders>
            <w:shd w:val="clear" w:color="auto" w:fill="D9E1F3"/>
          </w:tcPr>
          <w:p w14:paraId="2F3BDBC7" w14:textId="77777777" w:rsidR="003E7F67" w:rsidRPr="002D356F" w:rsidRDefault="003E7F67">
            <w:pPr>
              <w:rPr>
                <w:rFonts w:cs="Arabic Typesetting"/>
                <w:sz w:val="2"/>
                <w:szCs w:val="2"/>
              </w:rPr>
            </w:pPr>
          </w:p>
        </w:tc>
        <w:tc>
          <w:tcPr>
            <w:tcW w:w="3793" w:type="dxa"/>
            <w:shd w:val="clear" w:color="auto" w:fill="F1F1F1"/>
          </w:tcPr>
          <w:p w14:paraId="266B33DE" w14:textId="77777777" w:rsidR="003E7F67" w:rsidRPr="002D356F" w:rsidRDefault="00A572B0">
            <w:pPr>
              <w:pStyle w:val="TableParagraph"/>
              <w:spacing w:line="194" w:lineRule="exact"/>
              <w:ind w:left="1224" w:right="1217"/>
              <w:jc w:val="center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Type</w:t>
            </w:r>
          </w:p>
        </w:tc>
        <w:tc>
          <w:tcPr>
            <w:tcW w:w="1260" w:type="dxa"/>
            <w:shd w:val="clear" w:color="auto" w:fill="F1F1F1"/>
          </w:tcPr>
          <w:p w14:paraId="79B18591" w14:textId="77777777" w:rsidR="003E7F67" w:rsidRPr="002D356F" w:rsidRDefault="00A572B0">
            <w:pPr>
              <w:pStyle w:val="TableParagraph"/>
              <w:spacing w:before="42"/>
              <w:ind w:left="226" w:right="217"/>
              <w:jc w:val="center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Semester</w:t>
            </w:r>
          </w:p>
        </w:tc>
        <w:tc>
          <w:tcPr>
            <w:tcW w:w="1258" w:type="dxa"/>
            <w:shd w:val="clear" w:color="auto" w:fill="F1F1F1"/>
          </w:tcPr>
          <w:p w14:paraId="2A5DF52D" w14:textId="77777777" w:rsidR="003E7F67" w:rsidRPr="002D356F" w:rsidRDefault="00A572B0">
            <w:pPr>
              <w:pStyle w:val="TableParagraph"/>
              <w:spacing w:before="42"/>
              <w:ind w:left="380" w:right="374"/>
              <w:jc w:val="center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ECTS</w:t>
            </w:r>
          </w:p>
        </w:tc>
        <w:tc>
          <w:tcPr>
            <w:tcW w:w="1792" w:type="dxa"/>
            <w:shd w:val="clear" w:color="auto" w:fill="F1F1F1"/>
          </w:tcPr>
          <w:p w14:paraId="71938F98" w14:textId="77777777" w:rsidR="003E7F67" w:rsidRPr="002D356F" w:rsidRDefault="00A572B0">
            <w:pPr>
              <w:pStyle w:val="TableParagraph"/>
              <w:spacing w:before="42"/>
              <w:ind w:left="662" w:right="652"/>
              <w:jc w:val="center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Code</w:t>
            </w:r>
          </w:p>
        </w:tc>
      </w:tr>
      <w:tr w:rsidR="003E7F67" w:rsidRPr="002D356F" w14:paraId="08479E01" w14:textId="77777777" w:rsidTr="00A572B0">
        <w:trPr>
          <w:trHeight w:val="278"/>
        </w:trPr>
        <w:tc>
          <w:tcPr>
            <w:tcW w:w="1964" w:type="dxa"/>
            <w:vMerge/>
            <w:tcBorders>
              <w:top w:val="nil"/>
            </w:tcBorders>
            <w:shd w:val="clear" w:color="auto" w:fill="D9E1F3"/>
          </w:tcPr>
          <w:p w14:paraId="126B51B6" w14:textId="77777777" w:rsidR="003E7F67" w:rsidRPr="002D356F" w:rsidRDefault="003E7F67">
            <w:pPr>
              <w:rPr>
                <w:rFonts w:cs="Arabic Typesetting"/>
                <w:sz w:val="2"/>
                <w:szCs w:val="2"/>
              </w:rPr>
            </w:pPr>
          </w:p>
        </w:tc>
        <w:tc>
          <w:tcPr>
            <w:tcW w:w="3793" w:type="dxa"/>
          </w:tcPr>
          <w:p w14:paraId="3A2A5F53" w14:textId="2DDAFB04" w:rsidR="003E7F67" w:rsidRPr="002D356F" w:rsidRDefault="00935E78" w:rsidP="00935E78">
            <w:pPr>
              <w:pStyle w:val="TableParagraph"/>
              <w:spacing w:line="194" w:lineRule="exact"/>
              <w:ind w:right="1217"/>
              <w:jc w:val="center"/>
              <w:rPr>
                <w:rFonts w:cs="Arabic Typesetting"/>
                <w:sz w:val="17"/>
              </w:rPr>
            </w:pPr>
            <w:r>
              <w:rPr>
                <w:rFonts w:cs="Arabic Typesetting"/>
                <w:color w:val="404040"/>
                <w:sz w:val="17"/>
              </w:rPr>
              <w:t xml:space="preserve">                        </w:t>
            </w:r>
            <w:r w:rsidR="00A572B0" w:rsidRPr="002D356F">
              <w:rPr>
                <w:rFonts w:cs="Arabic Typesetting"/>
                <w:color w:val="404040"/>
                <w:sz w:val="17"/>
              </w:rPr>
              <w:t>OBLIGAT</w:t>
            </w:r>
            <w:r w:rsidR="00651D96" w:rsidRPr="002D356F">
              <w:rPr>
                <w:rFonts w:cs="Arabic Typesetting"/>
                <w:color w:val="404040"/>
                <w:sz w:val="17"/>
              </w:rPr>
              <w:t>ORY</w:t>
            </w:r>
            <w:r w:rsidR="009E0CCD">
              <w:rPr>
                <w:rFonts w:cs="Arabic Typesetting"/>
                <w:color w:val="404040"/>
                <w:spacing w:val="-3"/>
                <w:sz w:val="17"/>
              </w:rPr>
              <w:t xml:space="preserve"> </w:t>
            </w:r>
            <w:r w:rsidR="00A572B0" w:rsidRPr="002D356F">
              <w:rPr>
                <w:rFonts w:cs="Arabic Typesetting"/>
                <w:color w:val="404040"/>
                <w:sz w:val="17"/>
              </w:rPr>
              <w:t>(O)</w:t>
            </w:r>
          </w:p>
        </w:tc>
        <w:tc>
          <w:tcPr>
            <w:tcW w:w="1260" w:type="dxa"/>
          </w:tcPr>
          <w:p w14:paraId="0697D370" w14:textId="52148A9C" w:rsidR="003E7F67" w:rsidRPr="002D356F" w:rsidRDefault="00651D96">
            <w:pPr>
              <w:pStyle w:val="TableParagraph"/>
              <w:spacing w:before="42"/>
              <w:ind w:left="9"/>
              <w:jc w:val="center"/>
              <w:rPr>
                <w:rFonts w:cs="Arabic Typesetting"/>
                <w:sz w:val="17"/>
              </w:rPr>
            </w:pPr>
            <w:r w:rsidRPr="002D356F">
              <w:rPr>
                <w:rFonts w:cs="Arabic Typesetting"/>
                <w:sz w:val="17"/>
              </w:rPr>
              <w:t>6</w:t>
            </w:r>
          </w:p>
        </w:tc>
        <w:tc>
          <w:tcPr>
            <w:tcW w:w="1258" w:type="dxa"/>
          </w:tcPr>
          <w:p w14:paraId="099732D4" w14:textId="29EDF674" w:rsidR="003E7F67" w:rsidRPr="002D356F" w:rsidRDefault="00C96984">
            <w:pPr>
              <w:pStyle w:val="TableParagraph"/>
              <w:spacing w:before="42"/>
              <w:ind w:left="8"/>
              <w:jc w:val="center"/>
              <w:rPr>
                <w:rFonts w:cs="Arabic Typesetting"/>
                <w:sz w:val="17"/>
              </w:rPr>
            </w:pPr>
            <w:r w:rsidRPr="002D356F">
              <w:rPr>
                <w:rFonts w:cs="Arabic Typesetting"/>
                <w:sz w:val="17"/>
              </w:rPr>
              <w:t>3</w:t>
            </w:r>
          </w:p>
        </w:tc>
        <w:tc>
          <w:tcPr>
            <w:tcW w:w="1792" w:type="dxa"/>
          </w:tcPr>
          <w:p w14:paraId="0F19187D" w14:textId="02CB6E78" w:rsidR="003E7F67" w:rsidRPr="00935E78" w:rsidRDefault="00C96984" w:rsidP="00C96984">
            <w:pPr>
              <w:pStyle w:val="TableParagraph"/>
              <w:spacing w:before="42"/>
              <w:ind w:left="412"/>
              <w:rPr>
                <w:rFonts w:cs="Arabic Typesetting"/>
                <w:color w:val="404040"/>
                <w:sz w:val="17"/>
                <w:szCs w:val="17"/>
              </w:rPr>
            </w:pPr>
            <w:r w:rsidRPr="00935E78">
              <w:rPr>
                <w:rFonts w:eastAsia="Times New Roman" w:cs="Arabic Typesetting"/>
                <w:sz w:val="17"/>
                <w:szCs w:val="17"/>
              </w:rPr>
              <w:t>30-BLS-261</w:t>
            </w:r>
          </w:p>
          <w:p w14:paraId="088598E7" w14:textId="2D01DB6F" w:rsidR="00C96984" w:rsidRPr="002D356F" w:rsidRDefault="00C96984">
            <w:pPr>
              <w:pStyle w:val="TableParagraph"/>
              <w:spacing w:before="42"/>
              <w:ind w:left="412"/>
              <w:rPr>
                <w:rFonts w:cs="Arabic Typesetting"/>
                <w:sz w:val="17"/>
              </w:rPr>
            </w:pPr>
          </w:p>
        </w:tc>
      </w:tr>
      <w:tr w:rsidR="003E7F67" w:rsidRPr="002D356F" w14:paraId="6822FA55" w14:textId="77777777" w:rsidTr="00A572B0">
        <w:trPr>
          <w:trHeight w:val="389"/>
        </w:trPr>
        <w:tc>
          <w:tcPr>
            <w:tcW w:w="1964" w:type="dxa"/>
            <w:shd w:val="clear" w:color="auto" w:fill="D9E1F3"/>
          </w:tcPr>
          <w:p w14:paraId="3E8535CD" w14:textId="77777777" w:rsidR="003E7F67" w:rsidRPr="002D356F" w:rsidRDefault="00A572B0">
            <w:pPr>
              <w:pStyle w:val="TableParagraph"/>
              <w:spacing w:before="94"/>
              <w:ind w:left="107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Lecture</w:t>
            </w:r>
          </w:p>
        </w:tc>
        <w:tc>
          <w:tcPr>
            <w:tcW w:w="8103" w:type="dxa"/>
            <w:gridSpan w:val="4"/>
          </w:tcPr>
          <w:p w14:paraId="176DBE1C" w14:textId="021CDDEF" w:rsidR="003E7F67" w:rsidRPr="002D356F" w:rsidRDefault="00C96984" w:rsidP="00635D07">
            <w:pPr>
              <w:pStyle w:val="TableParagraph"/>
              <w:spacing w:line="198" w:lineRule="exact"/>
              <w:ind w:left="107" w:right="745"/>
              <w:rPr>
                <w:rFonts w:cs="Arabic Typesetting"/>
                <w:sz w:val="17"/>
              </w:rPr>
            </w:pPr>
            <w:proofErr w:type="spellStart"/>
            <w:r w:rsidRPr="002D356F">
              <w:rPr>
                <w:rFonts w:cs="Arabic Typesetting"/>
                <w:color w:val="404040"/>
                <w:sz w:val="17"/>
              </w:rPr>
              <w:t>Mr</w:t>
            </w:r>
            <w:r w:rsidR="00635D07">
              <w:rPr>
                <w:rFonts w:cs="Arabic Typesetting"/>
                <w:color w:val="404040"/>
                <w:sz w:val="17"/>
              </w:rPr>
              <w:t>sc</w:t>
            </w:r>
            <w:proofErr w:type="spellEnd"/>
            <w:r w:rsidRPr="002D356F">
              <w:rPr>
                <w:rFonts w:cs="Arabic Typesetting"/>
                <w:color w:val="404040"/>
                <w:sz w:val="17"/>
              </w:rPr>
              <w:t xml:space="preserve"> </w:t>
            </w:r>
            <w:proofErr w:type="spellStart"/>
            <w:r w:rsidRPr="002D356F">
              <w:rPr>
                <w:rFonts w:cs="Arabic Typesetting"/>
                <w:color w:val="404040"/>
                <w:sz w:val="17"/>
              </w:rPr>
              <w:t>Ramë</w:t>
            </w:r>
            <w:proofErr w:type="spellEnd"/>
            <w:r w:rsidRPr="002D356F">
              <w:rPr>
                <w:rFonts w:cs="Arabic Typesetting"/>
                <w:color w:val="404040"/>
                <w:sz w:val="17"/>
              </w:rPr>
              <w:t xml:space="preserve"> </w:t>
            </w:r>
            <w:proofErr w:type="spellStart"/>
            <w:r w:rsidRPr="002D356F">
              <w:rPr>
                <w:rFonts w:cs="Arabic Typesetting"/>
                <w:color w:val="404040"/>
                <w:sz w:val="17"/>
              </w:rPr>
              <w:t>Hamzaj</w:t>
            </w:r>
            <w:proofErr w:type="spellEnd"/>
          </w:p>
        </w:tc>
      </w:tr>
      <w:tr w:rsidR="003E7F67" w:rsidRPr="002D356F" w14:paraId="2F34ED96" w14:textId="77777777" w:rsidTr="00A572B0">
        <w:trPr>
          <w:trHeight w:val="271"/>
        </w:trPr>
        <w:tc>
          <w:tcPr>
            <w:tcW w:w="1964" w:type="dxa"/>
            <w:shd w:val="clear" w:color="auto" w:fill="D9E1F3"/>
          </w:tcPr>
          <w:p w14:paraId="20EA77A2" w14:textId="77777777" w:rsidR="003E7F67" w:rsidRPr="002D356F" w:rsidRDefault="00A572B0">
            <w:pPr>
              <w:pStyle w:val="TableParagraph"/>
              <w:spacing w:before="32"/>
              <w:ind w:left="107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Assistant</w:t>
            </w:r>
          </w:p>
        </w:tc>
        <w:tc>
          <w:tcPr>
            <w:tcW w:w="8103" w:type="dxa"/>
            <w:gridSpan w:val="4"/>
          </w:tcPr>
          <w:p w14:paraId="5DFC32C7" w14:textId="7B8188F1" w:rsidR="003E7F67" w:rsidRPr="002D356F" w:rsidRDefault="00635D07" w:rsidP="00635D07">
            <w:pPr>
              <w:pStyle w:val="TableParagraph"/>
              <w:spacing w:before="32"/>
              <w:rPr>
                <w:rFonts w:cs="Arabic Typesetting"/>
                <w:sz w:val="17"/>
              </w:rPr>
            </w:pPr>
            <w:r>
              <w:rPr>
                <w:rFonts w:cs="Arabic Typesetting"/>
                <w:sz w:val="17"/>
              </w:rPr>
              <w:t xml:space="preserve">  </w:t>
            </w:r>
            <w:proofErr w:type="spellStart"/>
            <w:r w:rsidRPr="002D356F">
              <w:rPr>
                <w:rFonts w:cs="Arabic Typesetting"/>
                <w:color w:val="404040"/>
                <w:sz w:val="17"/>
              </w:rPr>
              <w:t>Mr</w:t>
            </w:r>
            <w:r>
              <w:rPr>
                <w:rFonts w:cs="Arabic Typesetting"/>
                <w:color w:val="404040"/>
                <w:sz w:val="17"/>
              </w:rPr>
              <w:t>sc</w:t>
            </w:r>
            <w:proofErr w:type="spellEnd"/>
            <w:r w:rsidRPr="002D356F">
              <w:rPr>
                <w:rFonts w:cs="Arabic Typesetting"/>
                <w:color w:val="404040"/>
                <w:sz w:val="17"/>
              </w:rPr>
              <w:t xml:space="preserve"> </w:t>
            </w:r>
            <w:proofErr w:type="spellStart"/>
            <w:r>
              <w:rPr>
                <w:rFonts w:cs="Arabic Typesetting"/>
                <w:color w:val="404040"/>
                <w:sz w:val="17"/>
              </w:rPr>
              <w:t>Zejnullah</w:t>
            </w:r>
            <w:proofErr w:type="spellEnd"/>
            <w:r>
              <w:rPr>
                <w:rFonts w:cs="Arabic Typesetting"/>
                <w:color w:val="404040"/>
                <w:sz w:val="17"/>
              </w:rPr>
              <w:t xml:space="preserve"> </w:t>
            </w:r>
            <w:proofErr w:type="spellStart"/>
            <w:r>
              <w:rPr>
                <w:rFonts w:cs="Arabic Typesetting"/>
                <w:color w:val="404040"/>
                <w:sz w:val="17"/>
              </w:rPr>
              <w:t>Rexhepi</w:t>
            </w:r>
            <w:proofErr w:type="spellEnd"/>
          </w:p>
        </w:tc>
      </w:tr>
      <w:tr w:rsidR="003E7F67" w:rsidRPr="002D356F" w14:paraId="27D409BB" w14:textId="77777777" w:rsidTr="00A572B0">
        <w:trPr>
          <w:trHeight w:val="278"/>
        </w:trPr>
        <w:tc>
          <w:tcPr>
            <w:tcW w:w="1964" w:type="dxa"/>
            <w:shd w:val="clear" w:color="auto" w:fill="D9E1F3"/>
          </w:tcPr>
          <w:p w14:paraId="1C8B5F8C" w14:textId="77777777" w:rsidR="003E7F67" w:rsidRPr="002D356F" w:rsidRDefault="003E7F67">
            <w:pPr>
              <w:pStyle w:val="TableParagraph"/>
              <w:rPr>
                <w:rFonts w:cs="Arabic Typesetting"/>
                <w:sz w:val="16"/>
              </w:rPr>
            </w:pPr>
          </w:p>
        </w:tc>
        <w:tc>
          <w:tcPr>
            <w:tcW w:w="8103" w:type="dxa"/>
            <w:gridSpan w:val="4"/>
          </w:tcPr>
          <w:p w14:paraId="29DD3F59" w14:textId="77777777" w:rsidR="003E7F67" w:rsidRPr="002D356F" w:rsidRDefault="003E7F67">
            <w:pPr>
              <w:pStyle w:val="TableParagraph"/>
              <w:rPr>
                <w:rFonts w:cs="Arabic Typesetting"/>
                <w:sz w:val="16"/>
              </w:rPr>
            </w:pPr>
          </w:p>
        </w:tc>
      </w:tr>
      <w:tr w:rsidR="003E7F67" w:rsidRPr="002D356F" w14:paraId="6B8F1FC7" w14:textId="77777777" w:rsidTr="00A572B0">
        <w:trPr>
          <w:trHeight w:val="3403"/>
        </w:trPr>
        <w:tc>
          <w:tcPr>
            <w:tcW w:w="1964" w:type="dxa"/>
            <w:shd w:val="clear" w:color="auto" w:fill="D9E1F3"/>
          </w:tcPr>
          <w:p w14:paraId="0C8620F4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10AAF833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0A0081EA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5084A920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0C591688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50C21415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408937B4" w14:textId="77777777" w:rsidR="003E7F67" w:rsidRPr="002D356F" w:rsidRDefault="003E7F67">
            <w:pPr>
              <w:pStyle w:val="TableParagraph"/>
              <w:spacing w:before="8"/>
              <w:rPr>
                <w:rFonts w:cs="Arabic Typesetting"/>
                <w:b/>
                <w:sz w:val="24"/>
              </w:rPr>
            </w:pPr>
          </w:p>
          <w:p w14:paraId="6B2AD891" w14:textId="77777777" w:rsidR="003E7F67" w:rsidRPr="002D356F" w:rsidRDefault="00A572B0">
            <w:pPr>
              <w:pStyle w:val="TableParagraph"/>
              <w:ind w:left="155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Aims</w:t>
            </w:r>
            <w:r w:rsidRPr="002D356F">
              <w:rPr>
                <w:rFonts w:cs="Arabic Typesetting"/>
                <w:b/>
                <w:spacing w:val="-3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and</w:t>
            </w:r>
            <w:r w:rsidRPr="002D356F">
              <w:rPr>
                <w:rFonts w:cs="Arabic Typesetting"/>
                <w:b/>
                <w:spacing w:val="-1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objectives</w:t>
            </w:r>
          </w:p>
        </w:tc>
        <w:tc>
          <w:tcPr>
            <w:tcW w:w="8103" w:type="dxa"/>
            <w:gridSpan w:val="4"/>
          </w:tcPr>
          <w:p w14:paraId="48F0EBD9" w14:textId="77777777" w:rsid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2D356F">
              <w:rPr>
                <w:rFonts w:cs="Arabic Typesetting"/>
                <w:color w:val="404040"/>
                <w:spacing w:val="-6"/>
                <w:sz w:val="17"/>
              </w:rPr>
              <w:t>Through the subject "LAWS AND STANDARDS OF CONSTRUCTION", students will be introduced to the concepts and principles of Kosovo, Regional and International legislation in Professional Ethics, Norms and Standards - Standardization, Spatial Planning, Construction, Housing, Infrastructure, Environmental Impact Assessment (EIA), Protection of Buildings against fire and other natural disasters, Protection and Safety at work, etc.;</w:t>
            </w:r>
          </w:p>
          <w:p w14:paraId="3B802A9E" w14:textId="77777777" w:rsid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The importance and interaction of Strategic Spatial Planning, the Spatial Plan of Kosovo with Municipal Development Plans, Zonal Maps of Kosovo and Municipalities, Detailed Regulatory Plans, The</w:t>
            </w:r>
            <w:r w:rsidRPr="00635D07">
              <w:rPr>
                <w:rFonts w:cs="Arabic Typesetting"/>
                <w:color w:val="404040"/>
                <w:spacing w:val="-6"/>
                <w:sz w:val="17"/>
              </w:rPr>
              <w:br/>
              <w:t>importance and interaction of Administrative Instructions deriving from the Law of Spatial Planning, Construction and Housing Laws, Energy Efficiency in Bui</w:t>
            </w:r>
            <w:r w:rsidR="00635D07" w:rsidRPr="00635D07">
              <w:rPr>
                <w:rFonts w:cs="Arabic Typesetting"/>
                <w:color w:val="404040"/>
                <w:spacing w:val="-6"/>
                <w:sz w:val="17"/>
              </w:rPr>
              <w:t>ldings, infrastructure, etc.;</w:t>
            </w:r>
          </w:p>
          <w:p w14:paraId="11322236" w14:textId="77777777" w:rsid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The importance and fulfillment of the principles that emerge from European strategic documents fo</w:t>
            </w:r>
            <w:r w:rsidR="00635D07" w:rsidRPr="00635D07">
              <w:rPr>
                <w:rFonts w:cs="Arabic Typesetting"/>
                <w:color w:val="404040"/>
                <w:spacing w:val="-6"/>
                <w:sz w:val="17"/>
              </w:rPr>
              <w:t>r spatial and urban planning;</w:t>
            </w:r>
          </w:p>
          <w:p w14:paraId="19C347B5" w14:textId="77777777" w:rsid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 xml:space="preserve">Providing a general assessment of the concepts and principles of sustainable development as well as the idea of </w:t>
            </w:r>
            <w:r w:rsidRPr="00635D07">
              <w:rPr>
                <w:rFonts w:cs="Times New Roman"/>
                <w:color w:val="404040"/>
                <w:spacing w:val="-6"/>
                <w:sz w:val="17"/>
              </w:rPr>
              <w:t>​​</w:t>
            </w:r>
            <w:r w:rsidRPr="00635D07">
              <w:rPr>
                <w:rFonts w:cs="Arabic Typesetting"/>
                <w:color w:val="404040"/>
                <w:spacing w:val="-6"/>
                <w:sz w:val="17"/>
              </w:rPr>
              <w:t>sustainability as a paradigm, balanced economic, soc</w:t>
            </w:r>
            <w:r w:rsidR="00635D07" w:rsidRPr="00635D07">
              <w:rPr>
                <w:rFonts w:cs="Arabic Typesetting"/>
                <w:color w:val="404040"/>
                <w:spacing w:val="-6"/>
                <w:sz w:val="17"/>
              </w:rPr>
              <w:t>ial and territorial cohesion.</w:t>
            </w:r>
          </w:p>
          <w:p w14:paraId="4A4DF80A" w14:textId="77777777" w:rsid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Notification of strategic documents, treaties: ESDP - the European perspective for spatial development, Sustai</w:t>
            </w:r>
            <w:r w:rsidR="00635D07" w:rsidRPr="00635D07">
              <w:rPr>
                <w:rFonts w:cs="Arabic Typesetting"/>
                <w:color w:val="404040"/>
                <w:spacing w:val="-6"/>
                <w:sz w:val="17"/>
              </w:rPr>
              <w:t>nable Development Goals,</w:t>
            </w:r>
          </w:p>
          <w:p w14:paraId="610A84A2" w14:textId="4E9BCE81" w:rsidR="003E7F67" w:rsidRPr="00635D07" w:rsidRDefault="00303E10" w:rsidP="00635D07">
            <w:pPr>
              <w:pStyle w:val="TableParagraph"/>
              <w:numPr>
                <w:ilvl w:val="0"/>
                <w:numId w:val="8"/>
              </w:numPr>
              <w:ind w:left="435" w:right="195" w:hanging="180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Review of practices, strategies and implementation process, shaping of regional developments, based on the principles of overview of European strategic documents;</w:t>
            </w:r>
          </w:p>
        </w:tc>
      </w:tr>
      <w:tr w:rsidR="003E7F67" w:rsidRPr="002D356F" w14:paraId="39EDB915" w14:textId="77777777" w:rsidTr="00A572B0">
        <w:trPr>
          <w:trHeight w:val="534"/>
        </w:trPr>
        <w:tc>
          <w:tcPr>
            <w:tcW w:w="1964" w:type="dxa"/>
            <w:shd w:val="clear" w:color="auto" w:fill="D9E1F3"/>
          </w:tcPr>
          <w:p w14:paraId="6CC308D4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1136B0D1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7A2A08E1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39A3A077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554FD177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7223B312" w14:textId="77777777" w:rsidR="003E7F67" w:rsidRPr="002D356F" w:rsidRDefault="003E7F67">
            <w:pPr>
              <w:pStyle w:val="TableParagraph"/>
              <w:rPr>
                <w:rFonts w:cs="Arabic Typesetting"/>
                <w:b/>
                <w:sz w:val="18"/>
              </w:rPr>
            </w:pPr>
          </w:p>
          <w:p w14:paraId="5E99A882" w14:textId="77777777" w:rsidR="003E7F67" w:rsidRPr="002D356F" w:rsidRDefault="003E7F67">
            <w:pPr>
              <w:pStyle w:val="TableParagraph"/>
              <w:spacing w:before="11"/>
              <w:rPr>
                <w:rFonts w:cs="Arabic Typesetting"/>
                <w:b/>
                <w:sz w:val="21"/>
              </w:rPr>
            </w:pPr>
          </w:p>
          <w:p w14:paraId="47E25D84" w14:textId="77777777" w:rsidR="003E7F67" w:rsidRPr="002D356F" w:rsidRDefault="00A572B0">
            <w:pPr>
              <w:pStyle w:val="TableParagraph"/>
              <w:ind w:left="107" w:right="797"/>
              <w:rPr>
                <w:rFonts w:cs="Arabic Typesetting"/>
                <w:b/>
                <w:sz w:val="17"/>
              </w:rPr>
            </w:pPr>
            <w:r w:rsidRPr="002D356F">
              <w:rPr>
                <w:rFonts w:cs="Arabic Typesetting"/>
                <w:b/>
                <w:sz w:val="17"/>
              </w:rPr>
              <w:t>Results of</w:t>
            </w:r>
            <w:r w:rsidRPr="002D356F">
              <w:rPr>
                <w:rFonts w:cs="Arabic Typesetting"/>
                <w:b/>
                <w:spacing w:val="1"/>
                <w:sz w:val="17"/>
              </w:rPr>
              <w:t xml:space="preserve"> </w:t>
            </w:r>
            <w:r w:rsidRPr="002D356F">
              <w:rPr>
                <w:rFonts w:cs="Arabic Typesetting"/>
                <w:b/>
                <w:sz w:val="17"/>
              </w:rPr>
              <w:t>achievement</w:t>
            </w:r>
          </w:p>
        </w:tc>
        <w:tc>
          <w:tcPr>
            <w:tcW w:w="8103" w:type="dxa"/>
            <w:gridSpan w:val="4"/>
          </w:tcPr>
          <w:p w14:paraId="005F3AAF" w14:textId="77777777" w:rsidR="00635D07" w:rsidRDefault="00635D07" w:rsidP="00303E10">
            <w:pPr>
              <w:pStyle w:val="TableParagraph"/>
              <w:tabs>
                <w:tab w:val="left" w:pos="288"/>
              </w:tabs>
              <w:ind w:left="255" w:right="156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70413D98" w14:textId="2C3174EC" w:rsidR="00303E10" w:rsidRPr="002D356F" w:rsidRDefault="00303E10" w:rsidP="00303E10">
            <w:pPr>
              <w:pStyle w:val="TableParagraph"/>
              <w:tabs>
                <w:tab w:val="left" w:pos="288"/>
              </w:tabs>
              <w:ind w:left="255" w:right="156"/>
              <w:rPr>
                <w:rFonts w:cs="Arabic Typesetting"/>
                <w:sz w:val="17"/>
              </w:rPr>
            </w:pPr>
            <w:r w:rsidRPr="002D356F">
              <w:rPr>
                <w:rFonts w:cs="Arabic Typesetting"/>
                <w:color w:val="404040"/>
                <w:spacing w:val="-6"/>
                <w:sz w:val="17"/>
              </w:rPr>
              <w:t>At the end of the module in the subject "LAWS AND STANDARDS OF CONSTRUCTION", they will be informed and able to understand, evaluate, choose and apply fair and critical judgments that:</w:t>
            </w:r>
          </w:p>
          <w:p w14:paraId="11E4F572" w14:textId="77777777" w:rsidR="00303E10" w:rsidRPr="002D356F" w:rsidRDefault="00303E10" w:rsidP="00303E10">
            <w:pPr>
              <w:pStyle w:val="TableParagraph"/>
              <w:tabs>
                <w:tab w:val="left" w:pos="288"/>
              </w:tabs>
              <w:ind w:left="287" w:right="156"/>
              <w:rPr>
                <w:rFonts w:cs="Arabic Typesetting"/>
                <w:sz w:val="17"/>
              </w:rPr>
            </w:pPr>
          </w:p>
          <w:p w14:paraId="70495DA9" w14:textId="0E02C346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Possess and understand advanced knowledge in the development and critical analysis of architectural designs, urban planning, and the interplay of housing and urban design.</w:t>
            </w:r>
          </w:p>
          <w:p w14:paraId="1B0A19E4" w14:textId="77777777" w:rsidR="006C6E57" w:rsidRPr="00635D07" w:rsidRDefault="006C6E57" w:rsidP="006C6E57">
            <w:pPr>
              <w:pStyle w:val="TableParagraph"/>
              <w:ind w:left="630"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499B1D45" w14:textId="6D9001EA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Use integrated knowledge to situate architecture within historical, social, cultural, and ecological contexts, emphasizing the landscape architecture and the benefits of urban vegetation and parks.</w:t>
            </w:r>
          </w:p>
          <w:p w14:paraId="48A64FCA" w14:textId="247FE389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5EBECA17" w14:textId="5948CA39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Demonstrate knowledge and understanding of a coherent perception of the historical, theoretical, national, regional, and international knowledge of architecture, including architectural heritage.</w:t>
            </w:r>
          </w:p>
          <w:p w14:paraId="5882C32C" w14:textId="5D2B2FB7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585BAF04" w14:textId="5CD26335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Apply techniques, methods, and tools in the evaluation of social, economic, and spatial aspects through the design and planning process, considering aspects of mathematics, geodesy, and building physics.</w:t>
            </w:r>
          </w:p>
          <w:p w14:paraId="0E34DF65" w14:textId="260064F8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5056246A" w14:textId="782E4559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Solve complex problems related to construction, building technology, and engineering, integrating knowledge from geomechanics and other technical mechanics.</w:t>
            </w:r>
          </w:p>
          <w:p w14:paraId="22275D92" w14:textId="5FDCB8B9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13BFC8EF" w14:textId="31A77217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Innovate in the creation of urban spaces, emphasizing energy-efficient designs and the role of acoustics in building physics.</w:t>
            </w:r>
          </w:p>
          <w:p w14:paraId="7FD0B0DF" w14:textId="1AFD25F9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3F8C24CF" w14:textId="7CA67C0C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Execute specific research on practical skills and theory, including the exploration of materials in architecture, computer applications in architectural designs, and the dynamics of environmental management.</w:t>
            </w:r>
          </w:p>
          <w:p w14:paraId="19F1DA36" w14:textId="1F19DF67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7E6CE493" w14:textId="3E9C44C4" w:rsid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Analyze data, processes, or structures to gain knowledge of principles, solutions, structures, and building materials, using tools from courses such as econometrics and technical mechanics.</w:t>
            </w:r>
          </w:p>
          <w:p w14:paraId="0C06DE96" w14:textId="5364F49D" w:rsidR="006C6E57" w:rsidRPr="00635D07" w:rsidRDefault="006C6E57" w:rsidP="006C6E57">
            <w:pPr>
              <w:pStyle w:val="TableParagraph"/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</w:p>
          <w:p w14:paraId="3289D144" w14:textId="77777777" w:rsidR="00635D07" w:rsidRPr="00635D07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color w:val="404040"/>
                <w:spacing w:val="-6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t>Exercise autonomy and take primary responsibility for professional communication and interpretation, synthesizing insights from art history, design studios, and regional planning.</w:t>
            </w:r>
          </w:p>
          <w:p w14:paraId="0E6B000D" w14:textId="605B00D9" w:rsidR="003E7F67" w:rsidRPr="002D356F" w:rsidRDefault="00635D07" w:rsidP="00635D07">
            <w:pPr>
              <w:pStyle w:val="TableParagraph"/>
              <w:numPr>
                <w:ilvl w:val="0"/>
                <w:numId w:val="11"/>
              </w:numPr>
              <w:ind w:right="195"/>
              <w:rPr>
                <w:rFonts w:cs="Arabic Typesetting"/>
                <w:sz w:val="17"/>
              </w:rPr>
            </w:pPr>
            <w:r w:rsidRPr="00635D07">
              <w:rPr>
                <w:rFonts w:cs="Arabic Typesetting"/>
                <w:color w:val="404040"/>
                <w:spacing w:val="-6"/>
                <w:sz w:val="17"/>
              </w:rPr>
              <w:lastRenderedPageBreak/>
              <w:t>Deal with ethical and professional issues in architecture, drawing from courses on ethics, architectural heritage, and the broader socio-economic context of urban planning.</w:t>
            </w:r>
          </w:p>
        </w:tc>
      </w:tr>
    </w:tbl>
    <w:p w14:paraId="77B170F2" w14:textId="77777777" w:rsidR="00F2238A" w:rsidRPr="002D356F" w:rsidRDefault="00F2238A">
      <w:pPr>
        <w:rPr>
          <w:rFonts w:cs="Arabic Typesetting"/>
        </w:rPr>
      </w:pPr>
      <w:bookmarkStart w:id="0" w:name="_GoBack"/>
      <w:bookmarkEnd w:id="0"/>
    </w:p>
    <w:sectPr w:rsidR="00F2238A" w:rsidRPr="002D356F">
      <w:pgSz w:w="12240" w:h="15840"/>
      <w:pgMar w:top="86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1CE"/>
    <w:multiLevelType w:val="hybridMultilevel"/>
    <w:tmpl w:val="BE3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519"/>
    <w:multiLevelType w:val="hybridMultilevel"/>
    <w:tmpl w:val="2C0E6F9C"/>
    <w:lvl w:ilvl="0" w:tplc="F4E44FA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D3D5318"/>
    <w:multiLevelType w:val="hybridMultilevel"/>
    <w:tmpl w:val="85E8B2AE"/>
    <w:lvl w:ilvl="0" w:tplc="546E74D2">
      <w:start w:val="1"/>
      <w:numFmt w:val="decimal"/>
      <w:lvlText w:val="%1."/>
      <w:lvlJc w:val="left"/>
      <w:pPr>
        <w:ind w:left="287" w:hanging="180"/>
      </w:pPr>
      <w:rPr>
        <w:rFonts w:ascii="Arial MT" w:eastAsia="Arial MT" w:hAnsi="Arial MT" w:cs="Arial MT"/>
        <w:w w:val="100"/>
        <w:sz w:val="17"/>
        <w:szCs w:val="17"/>
        <w:lang w:val="en-US" w:eastAsia="en-US" w:bidi="ar-SA"/>
      </w:rPr>
    </w:lvl>
    <w:lvl w:ilvl="1" w:tplc="706AFC50">
      <w:numFmt w:val="bullet"/>
      <w:lvlText w:val="•"/>
      <w:lvlJc w:val="left"/>
      <w:pPr>
        <w:ind w:left="1061" w:hanging="180"/>
      </w:pPr>
      <w:rPr>
        <w:rFonts w:hint="default"/>
        <w:lang w:val="en-US" w:eastAsia="en-US" w:bidi="ar-SA"/>
      </w:rPr>
    </w:lvl>
    <w:lvl w:ilvl="2" w:tplc="38E4D4B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D9D2CC30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  <w:lvl w:ilvl="4" w:tplc="F640AE66">
      <w:numFmt w:val="bullet"/>
      <w:lvlText w:val="•"/>
      <w:lvlJc w:val="left"/>
      <w:pPr>
        <w:ind w:left="3404" w:hanging="180"/>
      </w:pPr>
      <w:rPr>
        <w:rFonts w:hint="default"/>
        <w:lang w:val="en-US" w:eastAsia="en-US" w:bidi="ar-SA"/>
      </w:rPr>
    </w:lvl>
    <w:lvl w:ilvl="5" w:tplc="F8522846">
      <w:numFmt w:val="bullet"/>
      <w:lvlText w:val="•"/>
      <w:lvlJc w:val="left"/>
      <w:pPr>
        <w:ind w:left="4185" w:hanging="180"/>
      </w:pPr>
      <w:rPr>
        <w:rFonts w:hint="default"/>
        <w:lang w:val="en-US" w:eastAsia="en-US" w:bidi="ar-SA"/>
      </w:rPr>
    </w:lvl>
    <w:lvl w:ilvl="6" w:tplc="60981990">
      <w:numFmt w:val="bullet"/>
      <w:lvlText w:val="•"/>
      <w:lvlJc w:val="left"/>
      <w:pPr>
        <w:ind w:left="4966" w:hanging="180"/>
      </w:pPr>
      <w:rPr>
        <w:rFonts w:hint="default"/>
        <w:lang w:val="en-US" w:eastAsia="en-US" w:bidi="ar-SA"/>
      </w:rPr>
    </w:lvl>
    <w:lvl w:ilvl="7" w:tplc="E9D42E52">
      <w:numFmt w:val="bullet"/>
      <w:lvlText w:val="•"/>
      <w:lvlJc w:val="left"/>
      <w:pPr>
        <w:ind w:left="5747" w:hanging="180"/>
      </w:pPr>
      <w:rPr>
        <w:rFonts w:hint="default"/>
        <w:lang w:val="en-US" w:eastAsia="en-US" w:bidi="ar-SA"/>
      </w:rPr>
    </w:lvl>
    <w:lvl w:ilvl="8" w:tplc="5582C8C8">
      <w:numFmt w:val="bullet"/>
      <w:lvlText w:val="•"/>
      <w:lvlJc w:val="left"/>
      <w:pPr>
        <w:ind w:left="652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EC76B55"/>
    <w:multiLevelType w:val="hybridMultilevel"/>
    <w:tmpl w:val="7F4A9E34"/>
    <w:lvl w:ilvl="0" w:tplc="5DACFB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F0C40DA"/>
    <w:multiLevelType w:val="hybridMultilevel"/>
    <w:tmpl w:val="42CE2F62"/>
    <w:lvl w:ilvl="0" w:tplc="33467CA2">
      <w:numFmt w:val="bullet"/>
      <w:lvlText w:val="•"/>
      <w:lvlJc w:val="left"/>
      <w:pPr>
        <w:ind w:left="287" w:hanging="180"/>
      </w:pPr>
      <w:rPr>
        <w:rFonts w:ascii="Arial MT" w:eastAsia="Arial MT" w:hAnsi="Arial MT" w:cs="Arial MT" w:hint="default"/>
        <w:w w:val="100"/>
        <w:sz w:val="17"/>
        <w:szCs w:val="17"/>
        <w:lang w:val="en-US" w:eastAsia="en-US" w:bidi="ar-SA"/>
      </w:rPr>
    </w:lvl>
    <w:lvl w:ilvl="1" w:tplc="DC7C2756">
      <w:numFmt w:val="bullet"/>
      <w:lvlText w:val="•"/>
      <w:lvlJc w:val="left"/>
      <w:pPr>
        <w:ind w:left="1061" w:hanging="180"/>
      </w:pPr>
      <w:rPr>
        <w:rFonts w:hint="default"/>
        <w:lang w:val="en-US" w:eastAsia="en-US" w:bidi="ar-SA"/>
      </w:rPr>
    </w:lvl>
    <w:lvl w:ilvl="2" w:tplc="574ECF9E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58BEDDC8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  <w:lvl w:ilvl="4" w:tplc="E49CDBFE">
      <w:numFmt w:val="bullet"/>
      <w:lvlText w:val="•"/>
      <w:lvlJc w:val="left"/>
      <w:pPr>
        <w:ind w:left="3404" w:hanging="180"/>
      </w:pPr>
      <w:rPr>
        <w:rFonts w:hint="default"/>
        <w:lang w:val="en-US" w:eastAsia="en-US" w:bidi="ar-SA"/>
      </w:rPr>
    </w:lvl>
    <w:lvl w:ilvl="5" w:tplc="3712F9FC">
      <w:numFmt w:val="bullet"/>
      <w:lvlText w:val="•"/>
      <w:lvlJc w:val="left"/>
      <w:pPr>
        <w:ind w:left="4185" w:hanging="180"/>
      </w:pPr>
      <w:rPr>
        <w:rFonts w:hint="default"/>
        <w:lang w:val="en-US" w:eastAsia="en-US" w:bidi="ar-SA"/>
      </w:rPr>
    </w:lvl>
    <w:lvl w:ilvl="6" w:tplc="BE5A29D0">
      <w:numFmt w:val="bullet"/>
      <w:lvlText w:val="•"/>
      <w:lvlJc w:val="left"/>
      <w:pPr>
        <w:ind w:left="4966" w:hanging="180"/>
      </w:pPr>
      <w:rPr>
        <w:rFonts w:hint="default"/>
        <w:lang w:val="en-US" w:eastAsia="en-US" w:bidi="ar-SA"/>
      </w:rPr>
    </w:lvl>
    <w:lvl w:ilvl="7" w:tplc="9A6CA28C">
      <w:numFmt w:val="bullet"/>
      <w:lvlText w:val="•"/>
      <w:lvlJc w:val="left"/>
      <w:pPr>
        <w:ind w:left="5747" w:hanging="180"/>
      </w:pPr>
      <w:rPr>
        <w:rFonts w:hint="default"/>
        <w:lang w:val="en-US" w:eastAsia="en-US" w:bidi="ar-SA"/>
      </w:rPr>
    </w:lvl>
    <w:lvl w:ilvl="8" w:tplc="3CD640A4">
      <w:numFmt w:val="bullet"/>
      <w:lvlText w:val="•"/>
      <w:lvlJc w:val="left"/>
      <w:pPr>
        <w:ind w:left="652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6C3A26"/>
    <w:multiLevelType w:val="hybridMultilevel"/>
    <w:tmpl w:val="2ABA6BFA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2DDE67A3"/>
    <w:multiLevelType w:val="hybridMultilevel"/>
    <w:tmpl w:val="50A89C9E"/>
    <w:lvl w:ilvl="0" w:tplc="C9BEF896">
      <w:numFmt w:val="bullet"/>
      <w:lvlText w:val="•"/>
      <w:lvlJc w:val="left"/>
      <w:pPr>
        <w:ind w:left="198" w:hanging="108"/>
      </w:pPr>
      <w:rPr>
        <w:rFonts w:ascii="Arial MT" w:eastAsia="Arial MT" w:hAnsi="Arial MT" w:cs="Arial MT" w:hint="default"/>
        <w:color w:val="404040"/>
        <w:w w:val="100"/>
        <w:sz w:val="17"/>
        <w:szCs w:val="17"/>
        <w:lang w:val="en-US" w:eastAsia="en-US" w:bidi="ar-SA"/>
      </w:rPr>
    </w:lvl>
    <w:lvl w:ilvl="1" w:tplc="3DCAC758">
      <w:numFmt w:val="bullet"/>
      <w:lvlText w:val="•"/>
      <w:lvlJc w:val="left"/>
      <w:pPr>
        <w:ind w:left="990" w:hanging="108"/>
      </w:pPr>
      <w:rPr>
        <w:rFonts w:hint="default"/>
        <w:lang w:val="en-US" w:eastAsia="en-US" w:bidi="ar-SA"/>
      </w:rPr>
    </w:lvl>
    <w:lvl w:ilvl="2" w:tplc="316E98B2">
      <w:numFmt w:val="bullet"/>
      <w:lvlText w:val="•"/>
      <w:lvlJc w:val="left"/>
      <w:pPr>
        <w:ind w:left="1789" w:hanging="108"/>
      </w:pPr>
      <w:rPr>
        <w:rFonts w:hint="default"/>
        <w:lang w:val="en-US" w:eastAsia="en-US" w:bidi="ar-SA"/>
      </w:rPr>
    </w:lvl>
    <w:lvl w:ilvl="3" w:tplc="924CD820">
      <w:numFmt w:val="bullet"/>
      <w:lvlText w:val="•"/>
      <w:lvlJc w:val="left"/>
      <w:pPr>
        <w:ind w:left="2588" w:hanging="108"/>
      </w:pPr>
      <w:rPr>
        <w:rFonts w:hint="default"/>
        <w:lang w:val="en-US" w:eastAsia="en-US" w:bidi="ar-SA"/>
      </w:rPr>
    </w:lvl>
    <w:lvl w:ilvl="4" w:tplc="CC9ADCA2">
      <w:numFmt w:val="bullet"/>
      <w:lvlText w:val="•"/>
      <w:lvlJc w:val="left"/>
      <w:pPr>
        <w:ind w:left="3387" w:hanging="108"/>
      </w:pPr>
      <w:rPr>
        <w:rFonts w:hint="default"/>
        <w:lang w:val="en-US" w:eastAsia="en-US" w:bidi="ar-SA"/>
      </w:rPr>
    </w:lvl>
    <w:lvl w:ilvl="5" w:tplc="EC507752">
      <w:numFmt w:val="bullet"/>
      <w:lvlText w:val="•"/>
      <w:lvlJc w:val="left"/>
      <w:pPr>
        <w:ind w:left="4187" w:hanging="108"/>
      </w:pPr>
      <w:rPr>
        <w:rFonts w:hint="default"/>
        <w:lang w:val="en-US" w:eastAsia="en-US" w:bidi="ar-SA"/>
      </w:rPr>
    </w:lvl>
    <w:lvl w:ilvl="6" w:tplc="1DE062E4">
      <w:numFmt w:val="bullet"/>
      <w:lvlText w:val="•"/>
      <w:lvlJc w:val="left"/>
      <w:pPr>
        <w:ind w:left="4986" w:hanging="108"/>
      </w:pPr>
      <w:rPr>
        <w:rFonts w:hint="default"/>
        <w:lang w:val="en-US" w:eastAsia="en-US" w:bidi="ar-SA"/>
      </w:rPr>
    </w:lvl>
    <w:lvl w:ilvl="7" w:tplc="3B36EC56">
      <w:numFmt w:val="bullet"/>
      <w:lvlText w:val="•"/>
      <w:lvlJc w:val="left"/>
      <w:pPr>
        <w:ind w:left="5785" w:hanging="108"/>
      </w:pPr>
      <w:rPr>
        <w:rFonts w:hint="default"/>
        <w:lang w:val="en-US" w:eastAsia="en-US" w:bidi="ar-SA"/>
      </w:rPr>
    </w:lvl>
    <w:lvl w:ilvl="8" w:tplc="5F98C826">
      <w:numFmt w:val="bullet"/>
      <w:lvlText w:val="•"/>
      <w:lvlJc w:val="left"/>
      <w:pPr>
        <w:ind w:left="6584" w:hanging="108"/>
      </w:pPr>
      <w:rPr>
        <w:rFonts w:hint="default"/>
        <w:lang w:val="en-US" w:eastAsia="en-US" w:bidi="ar-SA"/>
      </w:rPr>
    </w:lvl>
  </w:abstractNum>
  <w:abstractNum w:abstractNumId="7" w15:restartNumberingAfterBreak="0">
    <w:nsid w:val="62594EBD"/>
    <w:multiLevelType w:val="hybridMultilevel"/>
    <w:tmpl w:val="CA886DCC"/>
    <w:lvl w:ilvl="0" w:tplc="B374DE54">
      <w:numFmt w:val="bullet"/>
      <w:lvlText w:val=""/>
      <w:lvlJc w:val="left"/>
      <w:pPr>
        <w:ind w:left="213" w:hanging="89"/>
      </w:pPr>
      <w:rPr>
        <w:rFonts w:ascii="Symbol" w:eastAsia="Symbol" w:hAnsi="Symbol" w:cs="Symbol" w:hint="default"/>
        <w:color w:val="404040"/>
        <w:spacing w:val="10"/>
        <w:w w:val="100"/>
        <w:sz w:val="15"/>
        <w:szCs w:val="15"/>
        <w:lang w:val="en-US" w:eastAsia="en-US" w:bidi="ar-SA"/>
      </w:rPr>
    </w:lvl>
    <w:lvl w:ilvl="1" w:tplc="FA16BFBC">
      <w:numFmt w:val="bullet"/>
      <w:lvlText w:val="•"/>
      <w:lvlJc w:val="left"/>
      <w:pPr>
        <w:ind w:left="1007" w:hanging="89"/>
      </w:pPr>
      <w:rPr>
        <w:rFonts w:hint="default"/>
        <w:lang w:val="en-US" w:eastAsia="en-US" w:bidi="ar-SA"/>
      </w:rPr>
    </w:lvl>
    <w:lvl w:ilvl="2" w:tplc="29B68EB6">
      <w:numFmt w:val="bullet"/>
      <w:lvlText w:val="•"/>
      <w:lvlJc w:val="left"/>
      <w:pPr>
        <w:ind w:left="1794" w:hanging="89"/>
      </w:pPr>
      <w:rPr>
        <w:rFonts w:hint="default"/>
        <w:lang w:val="en-US" w:eastAsia="en-US" w:bidi="ar-SA"/>
      </w:rPr>
    </w:lvl>
    <w:lvl w:ilvl="3" w:tplc="76AE7494">
      <w:numFmt w:val="bullet"/>
      <w:lvlText w:val="•"/>
      <w:lvlJc w:val="left"/>
      <w:pPr>
        <w:ind w:left="2581" w:hanging="89"/>
      </w:pPr>
      <w:rPr>
        <w:rFonts w:hint="default"/>
        <w:lang w:val="en-US" w:eastAsia="en-US" w:bidi="ar-SA"/>
      </w:rPr>
    </w:lvl>
    <w:lvl w:ilvl="4" w:tplc="B2201A78">
      <w:numFmt w:val="bullet"/>
      <w:lvlText w:val="•"/>
      <w:lvlJc w:val="left"/>
      <w:pPr>
        <w:ind w:left="3368" w:hanging="89"/>
      </w:pPr>
      <w:rPr>
        <w:rFonts w:hint="default"/>
        <w:lang w:val="en-US" w:eastAsia="en-US" w:bidi="ar-SA"/>
      </w:rPr>
    </w:lvl>
    <w:lvl w:ilvl="5" w:tplc="B4081108">
      <w:numFmt w:val="bullet"/>
      <w:lvlText w:val="•"/>
      <w:lvlJc w:val="left"/>
      <w:pPr>
        <w:ind w:left="4156" w:hanging="89"/>
      </w:pPr>
      <w:rPr>
        <w:rFonts w:hint="default"/>
        <w:lang w:val="en-US" w:eastAsia="en-US" w:bidi="ar-SA"/>
      </w:rPr>
    </w:lvl>
    <w:lvl w:ilvl="6" w:tplc="D1902358">
      <w:numFmt w:val="bullet"/>
      <w:lvlText w:val="•"/>
      <w:lvlJc w:val="left"/>
      <w:pPr>
        <w:ind w:left="4943" w:hanging="89"/>
      </w:pPr>
      <w:rPr>
        <w:rFonts w:hint="default"/>
        <w:lang w:val="en-US" w:eastAsia="en-US" w:bidi="ar-SA"/>
      </w:rPr>
    </w:lvl>
    <w:lvl w:ilvl="7" w:tplc="3D7E5E44">
      <w:numFmt w:val="bullet"/>
      <w:lvlText w:val="•"/>
      <w:lvlJc w:val="left"/>
      <w:pPr>
        <w:ind w:left="5730" w:hanging="89"/>
      </w:pPr>
      <w:rPr>
        <w:rFonts w:hint="default"/>
        <w:lang w:val="en-US" w:eastAsia="en-US" w:bidi="ar-SA"/>
      </w:rPr>
    </w:lvl>
    <w:lvl w:ilvl="8" w:tplc="F2261FAC">
      <w:numFmt w:val="bullet"/>
      <w:lvlText w:val="•"/>
      <w:lvlJc w:val="left"/>
      <w:pPr>
        <w:ind w:left="6517" w:hanging="89"/>
      </w:pPr>
      <w:rPr>
        <w:rFonts w:hint="default"/>
        <w:lang w:val="en-US" w:eastAsia="en-US" w:bidi="ar-SA"/>
      </w:rPr>
    </w:lvl>
  </w:abstractNum>
  <w:abstractNum w:abstractNumId="8" w15:restartNumberingAfterBreak="0">
    <w:nsid w:val="697F6F15"/>
    <w:multiLevelType w:val="hybridMultilevel"/>
    <w:tmpl w:val="72165178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 w15:restartNumberingAfterBreak="0">
    <w:nsid w:val="6B3A7156"/>
    <w:multiLevelType w:val="hybridMultilevel"/>
    <w:tmpl w:val="74E29642"/>
    <w:lvl w:ilvl="0" w:tplc="D05E5624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3534806C">
      <w:numFmt w:val="bullet"/>
      <w:lvlText w:val="•"/>
      <w:lvlJc w:val="left"/>
      <w:pPr>
        <w:ind w:left="1061" w:hanging="180"/>
      </w:pPr>
      <w:rPr>
        <w:rFonts w:hint="default"/>
        <w:lang w:val="en-US" w:eastAsia="en-US" w:bidi="ar-SA"/>
      </w:rPr>
    </w:lvl>
    <w:lvl w:ilvl="2" w:tplc="1230FEFC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8C122124">
      <w:numFmt w:val="bullet"/>
      <w:lvlText w:val="•"/>
      <w:lvlJc w:val="left"/>
      <w:pPr>
        <w:ind w:left="2623" w:hanging="180"/>
      </w:pPr>
      <w:rPr>
        <w:rFonts w:hint="default"/>
        <w:lang w:val="en-US" w:eastAsia="en-US" w:bidi="ar-SA"/>
      </w:rPr>
    </w:lvl>
    <w:lvl w:ilvl="4" w:tplc="A91E62AA">
      <w:numFmt w:val="bullet"/>
      <w:lvlText w:val="•"/>
      <w:lvlJc w:val="left"/>
      <w:pPr>
        <w:ind w:left="3404" w:hanging="180"/>
      </w:pPr>
      <w:rPr>
        <w:rFonts w:hint="default"/>
        <w:lang w:val="en-US" w:eastAsia="en-US" w:bidi="ar-SA"/>
      </w:rPr>
    </w:lvl>
    <w:lvl w:ilvl="5" w:tplc="A1B8B1A4">
      <w:numFmt w:val="bullet"/>
      <w:lvlText w:val="•"/>
      <w:lvlJc w:val="left"/>
      <w:pPr>
        <w:ind w:left="4185" w:hanging="180"/>
      </w:pPr>
      <w:rPr>
        <w:rFonts w:hint="default"/>
        <w:lang w:val="en-US" w:eastAsia="en-US" w:bidi="ar-SA"/>
      </w:rPr>
    </w:lvl>
    <w:lvl w:ilvl="6" w:tplc="8B6C3BE2">
      <w:numFmt w:val="bullet"/>
      <w:lvlText w:val="•"/>
      <w:lvlJc w:val="left"/>
      <w:pPr>
        <w:ind w:left="4966" w:hanging="180"/>
      </w:pPr>
      <w:rPr>
        <w:rFonts w:hint="default"/>
        <w:lang w:val="en-US" w:eastAsia="en-US" w:bidi="ar-SA"/>
      </w:rPr>
    </w:lvl>
    <w:lvl w:ilvl="7" w:tplc="BA76F2F4">
      <w:numFmt w:val="bullet"/>
      <w:lvlText w:val="•"/>
      <w:lvlJc w:val="left"/>
      <w:pPr>
        <w:ind w:left="5747" w:hanging="180"/>
      </w:pPr>
      <w:rPr>
        <w:rFonts w:hint="default"/>
        <w:lang w:val="en-US" w:eastAsia="en-US" w:bidi="ar-SA"/>
      </w:rPr>
    </w:lvl>
    <w:lvl w:ilvl="8" w:tplc="0F6613BE">
      <w:numFmt w:val="bullet"/>
      <w:lvlText w:val="•"/>
      <w:lvlJc w:val="left"/>
      <w:pPr>
        <w:ind w:left="6528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6B6C4CDA"/>
    <w:multiLevelType w:val="hybridMultilevel"/>
    <w:tmpl w:val="366E9C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7"/>
    <w:rsid w:val="00127BCA"/>
    <w:rsid w:val="00264300"/>
    <w:rsid w:val="002D356F"/>
    <w:rsid w:val="00303E10"/>
    <w:rsid w:val="003B5B3F"/>
    <w:rsid w:val="003E7F67"/>
    <w:rsid w:val="003F68C7"/>
    <w:rsid w:val="00450A7B"/>
    <w:rsid w:val="004A1F6B"/>
    <w:rsid w:val="00635D07"/>
    <w:rsid w:val="00651D96"/>
    <w:rsid w:val="006C6E57"/>
    <w:rsid w:val="00747197"/>
    <w:rsid w:val="00820FC4"/>
    <w:rsid w:val="00935E78"/>
    <w:rsid w:val="009E0CCD"/>
    <w:rsid w:val="00A572B0"/>
    <w:rsid w:val="00A8440E"/>
    <w:rsid w:val="00AC379E"/>
    <w:rsid w:val="00B82425"/>
    <w:rsid w:val="00C23A5E"/>
    <w:rsid w:val="00C96984"/>
    <w:rsid w:val="00ED1F58"/>
    <w:rsid w:val="00EF448B"/>
    <w:rsid w:val="00F2238A"/>
    <w:rsid w:val="00F83B46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879"/>
  <w15:docId w15:val="{2E1A3670-D06C-431B-80D5-75AAB92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600" w:right="379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Egzon Bajraktari</cp:lastModifiedBy>
  <cp:revision>4</cp:revision>
  <cp:lastPrinted>2023-11-22T13:36:00Z</cp:lastPrinted>
  <dcterms:created xsi:type="dcterms:W3CDTF">2024-02-23T08:04:00Z</dcterms:created>
  <dcterms:modified xsi:type="dcterms:W3CDTF">2024-05-02T13:23:00Z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