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3153"/>
        <w:gridCol w:w="1234"/>
        <w:gridCol w:w="1867"/>
        <w:gridCol w:w="1225"/>
      </w:tblGrid>
      <w:tr w:rsidR="00CE0001" w14:paraId="7118A9A1" w14:textId="77777777" w:rsidTr="00CE0001">
        <w:trPr>
          <w:trHeight w:val="570"/>
        </w:trPr>
        <w:tc>
          <w:tcPr>
            <w:tcW w:w="1865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41A90434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Lënda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C13113E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9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  <w:vAlign w:val="center"/>
            <w:hideMark/>
          </w:tcPr>
          <w:p w14:paraId="52891C8A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TEKNOLOGJIA E PËRPUNIMIT TË QUMËSHTIT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278D9072" w14:textId="77777777" w:rsidTr="00CE0001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A307AF9" w14:textId="77777777" w:rsidR="00CE0001" w:rsidRDefault="00CE000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0EA9B78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Lloj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35B0B7C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6D45310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Semestri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A835D70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F2F2F2"/>
            <w:vAlign w:val="center"/>
            <w:hideMark/>
          </w:tcPr>
          <w:p w14:paraId="5CA4563F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Kodi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4DBD9222" w14:textId="77777777" w:rsidTr="00CE0001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7CEB2BEB" w14:textId="77777777" w:rsidR="00CE0001" w:rsidRDefault="00CE000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hideMark/>
          </w:tcPr>
          <w:p w14:paraId="6500D3A6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                             O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7F7F7F"/>
              <w:right w:val="nil"/>
            </w:tcBorders>
            <w:hideMark/>
          </w:tcPr>
          <w:p w14:paraId="6BC47C1E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        5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7F7F7F"/>
              <w:right w:val="nil"/>
            </w:tcBorders>
            <w:hideMark/>
          </w:tcPr>
          <w:p w14:paraId="6BDA6B8E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5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355D0CB7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   </w:t>
            </w:r>
            <w:r>
              <w:rPr>
                <w:rFonts w:ascii="Arial" w:hAnsi="Arial" w:cs="Arial"/>
                <w:sz w:val="20"/>
                <w:szCs w:val="20"/>
              </w:rPr>
              <w:t>130DPT312</w:t>
            </w:r>
          </w:p>
        </w:tc>
      </w:tr>
      <w:tr w:rsidR="00CE0001" w14:paraId="5AE3CB7A" w14:textId="77777777" w:rsidTr="00CE0001">
        <w:trPr>
          <w:trHeight w:val="360"/>
        </w:trPr>
        <w:tc>
          <w:tcPr>
            <w:tcW w:w="1865" w:type="dxa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7C9C1164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Ligjeruesi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9" w:type="dxa"/>
            <w:gridSpan w:val="4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0A5430E1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Prof. Ass.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Mergim MESTANI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2D9EB12B" w14:textId="77777777" w:rsidTr="00CE0001">
        <w:trPr>
          <w:trHeight w:val="240"/>
        </w:trPr>
        <w:tc>
          <w:tcPr>
            <w:tcW w:w="1865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7001F9CF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Asistenti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16D96905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7209D061" w14:textId="77777777" w:rsidTr="00CE0001">
        <w:trPr>
          <w:trHeight w:val="285"/>
        </w:trPr>
        <w:tc>
          <w:tcPr>
            <w:tcW w:w="1865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3BFF9BFB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Tutori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9" w:type="dxa"/>
            <w:gridSpan w:val="4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80FD276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780F5CC9" w14:textId="77777777" w:rsidTr="00CE0001">
        <w:trPr>
          <w:trHeight w:val="300"/>
        </w:trPr>
        <w:tc>
          <w:tcPr>
            <w:tcW w:w="18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D8C1F6E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Qëllimet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objektivat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9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039ECB75" w14:textId="77777777" w:rsidR="00CE0001" w:rsidRDefault="00CE000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përpunimit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është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program modular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përqendruar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aspekteve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ndryshme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përpunimit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ofron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informacion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synon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krijojë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fortë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konceptet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parimet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përpunimit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ndjekjes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këtij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moduli,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pajisen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njohuritë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aftësitë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nevojshme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punuar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industrinë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duke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filluar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kontrolli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cilësisë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paketimi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është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dizajnuar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ofruar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kuptim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gjerë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shkencës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parimeve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menaxhimit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janë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pjesë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sektorit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Nëpërmjet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tij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synohet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përgatiten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sfidat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suksesshme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fushën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përpunimit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duke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pajisur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njohuri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aftësi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nevojshme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performuar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shkelqyeshëm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këtë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sektor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DEFEACB" w14:textId="77777777" w:rsidR="00CE0001" w:rsidRDefault="00CE000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5C55EA5F" w14:textId="77777777" w:rsidTr="00CE0001">
        <w:trPr>
          <w:trHeight w:val="300"/>
        </w:trPr>
        <w:tc>
          <w:tcPr>
            <w:tcW w:w="18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006792B8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Rezultatet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pritshme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9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20744E86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përfundimit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këtij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moduli,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gjendje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8F52E91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1084844" w14:textId="77777777" w:rsidR="00CE0001" w:rsidRDefault="00CE0001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  <w:t>të përshkruaj formimin e qumështit dhe komponentët e tij;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5C93F82" w14:textId="77777777" w:rsidR="00CE0001" w:rsidRDefault="00CE0001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shpjegojë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vetitë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shqisore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trajtimet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paraprake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mekanike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 </w:t>
            </w:r>
          </w:p>
          <w:p w14:paraId="649619CB" w14:textId="77777777" w:rsidR="00CE0001" w:rsidRDefault="00CE0001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shpjegojë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rëndësinë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UHT-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pasterizimit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 </w:t>
            </w:r>
          </w:p>
          <w:p w14:paraId="6D686A18" w14:textId="77777777" w:rsidR="00CE0001" w:rsidRDefault="00CE0001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përkufizojë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qumështin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pasterizuar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qumështin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sterilizuar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 </w:t>
            </w:r>
          </w:p>
          <w:p w14:paraId="59BB0364" w14:textId="77777777" w:rsidR="00CE0001" w:rsidRDefault="00CE0001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njohuri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kuptuarit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përpunimit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këtë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fushë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djathit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gjalpit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fermentuar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akullores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 </w:t>
            </w:r>
          </w:p>
          <w:p w14:paraId="767E0A16" w14:textId="77777777" w:rsidR="00CE0001" w:rsidRDefault="00CE0001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zbatojë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njohuritë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shkencën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zgjidhjen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detyrave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ndryshme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fabrikë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qumështi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rritjen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cilësisë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sfidave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përpunimin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ruajtjen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higjienike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industrial. </w:t>
            </w:r>
          </w:p>
        </w:tc>
      </w:tr>
      <w:tr w:rsidR="00CE0001" w14:paraId="5286FBC6" w14:textId="77777777" w:rsidTr="00CE0001">
        <w:trPr>
          <w:trHeight w:val="285"/>
        </w:trPr>
        <w:tc>
          <w:tcPr>
            <w:tcW w:w="1865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670D2C6E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Përmbajtja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4" w:type="dxa"/>
            <w:gridSpan w:val="3"/>
            <w:tcBorders>
              <w:top w:val="single" w:sz="6" w:space="0" w:color="7F7F7F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7F6E63B4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Plani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javor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7F7F7F"/>
              <w:left w:val="nil"/>
              <w:bottom w:val="single" w:sz="6" w:space="0" w:color="auto"/>
              <w:right w:val="single" w:sz="6" w:space="0" w:color="7F7F7F"/>
            </w:tcBorders>
            <w:shd w:val="clear" w:color="auto" w:fill="F2F2F2"/>
            <w:hideMark/>
          </w:tcPr>
          <w:p w14:paraId="48F3F83C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Java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0A90D18E" w14:textId="77777777" w:rsidTr="00CE0001">
        <w:trPr>
          <w:trHeight w:val="46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F75BCF0" w14:textId="77777777" w:rsidR="00CE0001" w:rsidRDefault="00CE000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E0D25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qumeshtit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fakte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faktorët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ndikojne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ne sasine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cilesine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qumeshtit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B02A2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1B175B2D" w14:textId="77777777" w:rsidTr="00CE0001">
        <w:trPr>
          <w:trHeight w:val="30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0C3F0C0" w14:textId="77777777" w:rsidR="00CE0001" w:rsidRDefault="00CE000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7F07C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Higjiena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perpunimin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qumeshtit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18CE7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411EA804" w14:textId="77777777" w:rsidTr="00CE0001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A119E7E" w14:textId="77777777" w:rsidR="00CE0001" w:rsidRDefault="00CE000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A3D1D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Qumeshti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karakteristikat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tij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7463E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44E05943" w14:textId="77777777" w:rsidTr="00CE0001">
        <w:trPr>
          <w:trHeight w:val="5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0208615" w14:textId="77777777" w:rsidR="00CE0001" w:rsidRDefault="00CE000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4AB4C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Trajtimi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pas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mjeljes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Filtrimi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Ftohja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Grumbullimi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Transportimi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Pranimi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Depozitimi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Ruajtja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C4A04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53FD744D" w14:textId="77777777" w:rsidTr="00CE0001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DCD4910" w14:textId="77777777" w:rsidR="00CE0001" w:rsidRDefault="00CE000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8CFF6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Mikrobiologjia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F18F5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691FF142" w14:textId="77777777" w:rsidTr="00CE0001">
        <w:trPr>
          <w:trHeight w:val="34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3D638D35" w14:textId="77777777" w:rsidR="00CE0001" w:rsidRDefault="00CE000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CFEED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Trajtimi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termik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fokus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Pasterizimi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Sterilizimi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C8750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45AB4FAE" w14:textId="77777777" w:rsidTr="00CE0001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9777215" w14:textId="77777777" w:rsidR="00CE0001" w:rsidRDefault="00CE000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041D5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seminareve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grupore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5CA56AD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C23EE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3C4CD822" w14:textId="77777777" w:rsidTr="00CE0001">
        <w:trPr>
          <w:trHeight w:val="51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81CA78B" w14:textId="77777777" w:rsidR="00CE0001" w:rsidRDefault="00CE000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45776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Përpunimi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mekanik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skremimi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standartizim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homogjenizimi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filtrimi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avullimi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deajrimi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C2D25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57529D86" w14:textId="77777777" w:rsidTr="00CE0001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B0C5535" w14:textId="77777777" w:rsidR="00CE0001" w:rsidRDefault="00CE000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DCFAF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përpunimit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konsum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5491D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5FE165C5" w14:textId="77777777" w:rsidTr="00CE0001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771FC2B" w14:textId="77777777" w:rsidR="00CE0001" w:rsidRDefault="00CE000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3B2F9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djathrave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5BA85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2EF7678D" w14:textId="77777777" w:rsidTr="00CE0001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50A0E28" w14:textId="77777777" w:rsidR="00CE0001" w:rsidRDefault="00CE000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DFB55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gjalpit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FCDCF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5595FAA6" w14:textId="77777777" w:rsidTr="00CE0001">
        <w:trPr>
          <w:trHeight w:val="25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44C4EAF" w14:textId="77777777" w:rsidR="00CE0001" w:rsidRDefault="00CE000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36DD5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fermentuara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kultivuara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qumështi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9718E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0F193759" w14:textId="77777777" w:rsidTr="00CE0001">
        <w:trPr>
          <w:trHeight w:val="31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5BD96A1" w14:textId="77777777" w:rsidR="00CE0001" w:rsidRDefault="00CE000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8A703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akullores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BCFC4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49E7C74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65534BB2" w14:textId="77777777" w:rsidTr="00CE0001">
        <w:trPr>
          <w:trHeight w:val="34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56D1691" w14:textId="77777777" w:rsidR="00CE0001" w:rsidRDefault="00CE000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78C38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detyrave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projekteve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grupore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B2E7E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0C608A2A" w14:textId="77777777" w:rsidTr="00CE0001">
        <w:trPr>
          <w:trHeight w:val="270"/>
        </w:trPr>
        <w:tc>
          <w:tcPr>
            <w:tcW w:w="1865" w:type="dxa"/>
            <w:tcBorders>
              <w:top w:val="nil"/>
              <w:left w:val="single" w:sz="6" w:space="0" w:color="7F7F7F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78BE725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F5D77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Provimi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përfundimtar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19510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001" w14:paraId="3CF08598" w14:textId="77777777" w:rsidTr="00CE0001">
        <w:trPr>
          <w:trHeight w:val="300"/>
        </w:trPr>
        <w:tc>
          <w:tcPr>
            <w:tcW w:w="18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6EA130C4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9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38D8C24B" w14:textId="77777777" w:rsidR="00CE0001" w:rsidRDefault="00CE000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Deeth, H., &amp; Kelly, P. (Eds.). (2020). Processing and Technology of Dairy Products. MDPI-Multidisciplinary Digital Publishing Institute. </w:t>
            </w:r>
          </w:p>
          <w:p w14:paraId="6EA29115" w14:textId="77777777" w:rsidR="00CE0001" w:rsidRDefault="00CE000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Agrawal, A. K., &amp; Goyal, M. R. (2007). Processing technologies for milk and milk products: methods, applications, and energy usage (Vol. 74, No. 3, pp. 197-206). </w:t>
            </w:r>
          </w:p>
          <w:p w14:paraId="6DA4CAA9" w14:textId="77777777" w:rsidR="00CE0001" w:rsidRDefault="00CE000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Mehta, B. M. (2015). Dairy Technology: Volume 1–Milk and Milk Processing; Volume 2–Dairy Products and Quality Assurance (2014), edited by S. Singh, New India Publishing Agency, New Delhi, India. Vol. 01: ISBN 978‐93‐83305‐08‐7. Price£ 40; Vol. 02: ISBN 978‐93‐83305‐09‐4. Price£ 40. </w:t>
            </w:r>
          </w:p>
          <w:p w14:paraId="65FFB54C" w14:textId="77777777" w:rsidR="00CE0001" w:rsidRDefault="00CE000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Bylund, G. (1995): Dairy processing handbook,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Tetra-Pak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Processing Systems AB, Lund, Sweeden; </w:t>
            </w:r>
          </w:p>
          <w:p w14:paraId="1DDB00D9" w14:textId="77777777" w:rsidR="00CE0001" w:rsidRDefault="00CE000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Skript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interne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përpunimit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ligjerata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autorizuara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</w:t>
            </w:r>
          </w:p>
          <w:p w14:paraId="75BC4F4F" w14:textId="77777777" w:rsidR="00CE0001" w:rsidRDefault="00CE000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Tratnik,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Božanić, R. (2012):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Mlijeko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mliječni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proizvodi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Hrvatska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mljekarska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udruga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Zagreb; </w:t>
            </w:r>
          </w:p>
          <w:p w14:paraId="543B78AB" w14:textId="77777777" w:rsidR="00CE0001" w:rsidRDefault="00CE000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Božanić, R., Jeličić, I.,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Bilušić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T. (2010): Analiza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mlijeka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mliječnih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proizvoda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Priručnik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Plejada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Zagreb; </w:t>
            </w:r>
          </w:p>
          <w:p w14:paraId="0891126A" w14:textId="77777777" w:rsidR="00CE0001" w:rsidRDefault="00CE000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Early, R. (1998): The technology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ofdairy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products, Blackie Academic and Professional, London; </w:t>
            </w:r>
          </w:p>
          <w:p w14:paraId="407C1B43" w14:textId="77777777" w:rsidR="00CE0001" w:rsidRDefault="00CE000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Encyclopedia of Dairy Science (2oo3): Academic Press, (Vol. 1.- 5.),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Animprint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Elsevier Science, London; </w:t>
            </w:r>
          </w:p>
          <w:p w14:paraId="742EC05D" w14:textId="77777777" w:rsidR="00CE0001" w:rsidRDefault="00CE000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Goff,D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Dairy Science and Technology. http://www.foodsci.uoguelph.ca/dairyedu/home.html.    </w:t>
            </w:r>
          </w:p>
          <w:p w14:paraId="4096A69F" w14:textId="77777777" w:rsidR="00CE0001" w:rsidRDefault="00CE000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College of Agriculture, Food and Rural Enterprise (CAFRE); https://www.cafre.ac.uk/training-courses/dairy-technology/     </w:t>
            </w:r>
          </w:p>
          <w:p w14:paraId="6E82FEE5" w14:textId="77777777" w:rsidR="00CE0001" w:rsidRDefault="00CE000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A.Y. ed., 2008. Brined cheeses. John Wiley &amp; Sons. </w:t>
            </w:r>
          </w:p>
          <w:p w14:paraId="32798EEE" w14:textId="77777777" w:rsidR="00CE0001" w:rsidRDefault="00CE000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M., Ramadani, X., Gjergji, T.M., Dizdarevic, T. and Mehmeti, I., 2017. Influence of brine concentration and ripening temperature on quality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cheese. </w:t>
            </w:r>
          </w:p>
          <w:p w14:paraId="7C6CFE20" w14:textId="77777777" w:rsidR="00CE0001" w:rsidRDefault="00CE000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Mergim Mestani1,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Xhavit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Ramadani1, Tahire Maloku Gjergji2,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Hajrip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Mehmeti 1, Arsim Ademi 3 and Ibrahim Mehmeti1,3*. (2017). The effect of saline concentration and storage temperature in the quality of Sharri cheese. Journal of Food, Agriculture &amp; Environment, vol.15 (1): 12-17. 2017.  </w:t>
            </w:r>
          </w:p>
          <w:p w14:paraId="7C5DFE45" w14:textId="77777777" w:rsidR="00CE0001" w:rsidRDefault="00CE0001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Ajazi, F.C.,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Kurteshi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K., Ehrmann, M.A., Gecaj, R., Ismajli, M., Berisha, B.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Vehapi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I., 2018. MICROBIOLOGICAL STUDY OF TRADITIONAL CHEESE PRODUCED IN RUGOVA REGION OF KOSOVO. Bulgarian Journal of Agricultural Science, 24(2).  </w:t>
            </w:r>
          </w:p>
        </w:tc>
      </w:tr>
      <w:tr w:rsidR="00CE0001" w14:paraId="6A754E99" w14:textId="77777777" w:rsidTr="00CE0001">
        <w:trPr>
          <w:trHeight w:val="300"/>
        </w:trPr>
        <w:tc>
          <w:tcPr>
            <w:tcW w:w="18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241DAAD" w14:textId="77777777" w:rsidR="00CE0001" w:rsidRDefault="00CE00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Kontakti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9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36F2378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9B09FEA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mergim.mestani@ubt-uni.net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7F3AE5F" w14:textId="77777777" w:rsidR="00CE0001" w:rsidRDefault="00CE00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639B72B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9677D"/>
    <w:multiLevelType w:val="multilevel"/>
    <w:tmpl w:val="D9EA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021BB5"/>
    <w:multiLevelType w:val="multilevel"/>
    <w:tmpl w:val="5D7C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06620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7866260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E7"/>
    <w:rsid w:val="002F71EA"/>
    <w:rsid w:val="003417E7"/>
    <w:rsid w:val="00CE0001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EA194-E5F8-4775-80A9-E2FE283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00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gim.mestan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2024-03-28T13:18:00Z</dcterms:created>
  <dcterms:modified xsi:type="dcterms:W3CDTF">2024-03-28T13:18:00Z</dcterms:modified>
</cp:coreProperties>
</file>