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3160"/>
        <w:gridCol w:w="1258"/>
        <w:gridCol w:w="1333"/>
        <w:gridCol w:w="1713"/>
      </w:tblGrid>
      <w:tr w:rsidR="004B0979" w:rsidRPr="004B0979" w14:paraId="0D4060AD" w14:textId="77777777" w:rsidTr="004B0979">
        <w:trPr>
          <w:trHeight w:val="570"/>
        </w:trPr>
        <w:tc>
          <w:tcPr>
            <w:tcW w:w="1888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5B660739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Lënda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742FF83C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6F531087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TEKNOLOGJIA E PËRPUNIMIT TË MISHIT  </w:t>
            </w:r>
            <w:r w:rsidRPr="004B097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60ADF943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0979" w:rsidRPr="004B0979" w14:paraId="197FF3BB" w14:textId="77777777" w:rsidTr="004B0979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9C97E72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204E50F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Lloji </w:t>
            </w: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0D43DD9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955A005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Semestri</w:t>
            </w: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4E8D920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ECTS</w:t>
            </w: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53DE7D76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Kodi</w:t>
            </w: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0979" w:rsidRPr="004B0979" w14:paraId="2F2D192E" w14:textId="77777777" w:rsidTr="004B0979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CB61AEF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51342009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sq-AL"/>
                <w14:ligatures w14:val="none"/>
              </w:rPr>
              <w:t>                                 O</w:t>
            </w:r>
            <w:r w:rsidRPr="004B0979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57BDD19C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281F2D6F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sq-AL"/>
                <w14:ligatures w14:val="none"/>
              </w:rPr>
              <w:t>            5</w:t>
            </w:r>
            <w:r w:rsidRPr="004B0979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4F1EB40B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sq-AL"/>
                <w14:ligatures w14:val="none"/>
              </w:rPr>
              <w:t>        5 (2+2)</w:t>
            </w:r>
            <w:r w:rsidRPr="004B0979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7EDF717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sq-AL"/>
                <w14:ligatures w14:val="none"/>
              </w:rPr>
              <w:t>      130ACH159</w:t>
            </w:r>
            <w:r w:rsidRPr="004B0979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4B0979" w:rsidRPr="004B0979" w14:paraId="280914F3" w14:textId="77777777" w:rsidTr="004B0979">
        <w:trPr>
          <w:trHeight w:val="36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02BBBCC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Ligjeruesi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 xml:space="preserve"> i lëndës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58D062E4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4B0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Xhavit</w:t>
            </w:r>
            <w:proofErr w:type="spellEnd"/>
            <w:r w:rsidRPr="004B0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F. </w:t>
            </w:r>
            <w:proofErr w:type="spellStart"/>
            <w:r w:rsidRPr="004B0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Bytyçi</w:t>
            </w:r>
            <w:proofErr w:type="spellEnd"/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D6EA051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0979" w:rsidRPr="004B0979" w14:paraId="4553ECFF" w14:textId="77777777" w:rsidTr="004B0979">
        <w:trPr>
          <w:trHeight w:val="360"/>
        </w:trPr>
        <w:tc>
          <w:tcPr>
            <w:tcW w:w="1888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F7579BA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Asistenti i lëndës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58CBD166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4B0979"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20"/>
                <w:szCs w:val="20"/>
                <w:lang w:val="sq-AL"/>
                <w14:ligatures w14:val="none"/>
              </w:rPr>
              <w:t>Ardit</w:t>
            </w:r>
            <w:proofErr w:type="spellEnd"/>
            <w:r w:rsidRPr="004B0979"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20"/>
                <w:szCs w:val="20"/>
                <w:lang w:val="sq-AL"/>
                <w14:ligatures w14:val="none"/>
              </w:rPr>
              <w:t>Avdimetaj</w:t>
            </w:r>
            <w:proofErr w:type="spellEnd"/>
            <w:r w:rsidRPr="004B0979"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20"/>
                <w:szCs w:val="20"/>
                <w:lang w:val="sq-AL"/>
                <w14:ligatures w14:val="none"/>
              </w:rPr>
              <w:t> </w:t>
            </w:r>
            <w:r w:rsidRPr="004B0979">
              <w:rPr>
                <w:rFonts w:ascii="Arial" w:eastAsia="Times New Roman" w:hAnsi="Arial" w:cs="Arial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1E2D2793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0979" w:rsidRPr="004B0979" w14:paraId="7A2D4441" w14:textId="77777777" w:rsidTr="004B0979">
        <w:trPr>
          <w:trHeight w:val="285"/>
        </w:trPr>
        <w:tc>
          <w:tcPr>
            <w:tcW w:w="1888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FB7CE20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Tutori i lëndës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96B7327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0979" w:rsidRPr="004B0979" w14:paraId="2AF2D40F" w14:textId="77777777" w:rsidTr="004B0979">
        <w:trPr>
          <w:trHeight w:val="30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5A06E72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Qëllimet dhe objektivat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6B9D691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26959A3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Lënda “Teknologjia e përpunimit të mishit” ofron konceptet kryesore në vendosjen e bazave teorike: njohjen e vetive kimike, fizike dhe veçanërisht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organoleptike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 të mishit të gjitarëve; masat adekuate për transport adekuat dhe të mirëqenë të  kafshëve për therje duke reduktuar pasojat e transportit; trajtimin e kafshëve para therjes dhe procedurat e therjes humane në objektet e thertores deri tek përfitimi I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karkasës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.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EA07757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 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D0F1622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Gjithashtu  të njohë veprimet me të cilat mishti I përfituar nga kafshët e therura të jetë I rregullt si lëndë e pare për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prodhimine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 e produkteve të mishit dhe atë përmes njohjes së fazave të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maturimit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 të mishit, klasifikimin dhe kategorizimin e mishit, dhe vlerësimin e mishit me patologji të ndryshme. Veçanërisht të njohë edhe metodat e konservimit të mishit me të cilin veprim I zgjatet jetëgjatësia mishit.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6D0D272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64262CD0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Të zotëroj njohuri mbi proceset teknologjike të produkteve të veçanta të mishit si: teknologjia e mishit në kuti,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sallamat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, proshuta, dhe produktet tradicionale të mishit të gjitarëve. Përveç proceseve teknologjike, të njoh metodat për kontrollimin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organoleptik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, kimik dhe mikrobiologjik të produkteve të fituara si dhe vlerësoj kualitetin e tyre. shtazore. Gjithashtu të kuptoj proceset teknologjike, metodat e kontrollimit dhe vlerësimin e kualitetit të produkteve nga mishi I shpendëve dhe mishi I peshkut.  </w:t>
            </w:r>
          </w:p>
          <w:p w14:paraId="279219C1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 </w:t>
            </w:r>
          </w:p>
        </w:tc>
      </w:tr>
      <w:tr w:rsidR="004B0979" w:rsidRPr="004B0979" w14:paraId="232D1B6E" w14:textId="77777777" w:rsidTr="004B0979">
        <w:trPr>
          <w:trHeight w:val="1785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0BE2036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Rezultatet e pritshme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8E68C82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FA94FB7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Pas përfundimit të këtij kursi (lënde) studenti do të jetë në gjendje që: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D63D5F4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A13CD81" w14:textId="77777777" w:rsidR="004B0979" w:rsidRPr="004B0979" w:rsidRDefault="004B0979" w:rsidP="004B0979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Të njoh ndërtimin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histologjik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, vetitë kimike, fizike dhe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organoleptike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 të mishit të gjitarëve si dhe ndikimin e transporti, trajtimin e kafshëve para therjes si dhe procedurat e therjes humane të kafshëve në thertore të licencuara.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4BF9BDE" w14:textId="77777777" w:rsidR="004B0979" w:rsidRPr="004B0979" w:rsidRDefault="004B0979" w:rsidP="004B0979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65CB4A7E" w14:textId="77777777" w:rsidR="004B0979" w:rsidRPr="004B0979" w:rsidRDefault="004B0979" w:rsidP="004B0979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Të kupton rëndësinë e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maturimit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 të mishit, klasifikimin dhe kategorizimin e mishit si dhe vlerësimin e mishit me patologji të ndryshme me qëllim që të shmanget përdorimi I mishit jo të rregullt për produktet nga mishi I gjitarëve.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42F5C27A" w14:textId="77777777" w:rsidR="004B0979" w:rsidRPr="004B0979" w:rsidRDefault="004B0979" w:rsidP="004B0979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6932A214" w14:textId="77777777" w:rsidR="004B0979" w:rsidRPr="004B0979" w:rsidRDefault="004B0979" w:rsidP="004B0979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Të kupton dhe krahason proceset veprimet gjatë procesit teknologjike të produkteve të mishit si: konservat,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sallamat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, proshutat, produktet tradicionale nga mishi I gjitarëve si dhe proceset teknologjike gjatë përpunimit të produkteve nga mishi I shpendëve dhe peshkut.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680B859" w14:textId="77777777" w:rsidR="004B0979" w:rsidRPr="004B0979" w:rsidRDefault="004B0979" w:rsidP="004B0979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04E8E8B5" w14:textId="77777777" w:rsidTr="004B0979">
        <w:trPr>
          <w:trHeight w:val="1785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482106C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lastRenderedPageBreak/>
              <w:t xml:space="preserve">Përafrimi i rezultateve të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të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 xml:space="preserve"> nxënit të kursit me rezultatet e të nxënit të programeve.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CBCC152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0514892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1.Zbatimi i njohurive teorike: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959E473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-Zotërimi dhe të kuptimi I njohurive të avancuara për: vetitë e mishit të gjitarëve, të shpendëve dhe peshkut, përfitimin e mishit në thertore dhe kontrollimi I tij si dhe hapat teknologjik gjatë përpunimit të produkte të mishit si: konservat,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sallamat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, proshuta, produktet tradicionale përfshirë edhe nënproduktet nga mishi.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689E00B1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-Aplikimi I teknikave, metodave, mjeteve dhe instrumenteve të avancuara në përpunimin, analizën dhe vlerësimin e kualitetit të mishit dhe produkteve nga mishi duke, siguruar respektimin e ligjeve dhe rregulloreve të ushqimit.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08D7C3E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EE40641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2. Vlerësimi dhe analiza kritike: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CD0BA24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- Analizimi, vlerësimi dhe interpretimi i të dhënave shkencore për mishin si lëndë e pare si dhe për produktet nga mishi, duke përfshirë literaturën kërkimore, duke siguruar që gjetjet të përcillen në mënyrë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inovative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 dhe etike tek një audiencë e ndryshme, nga kolegët tek publiku i gjerë.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E81B857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Demonstrimi I të kuptuarit dhe kompetencës teknike në parimet themelore të lëndëve mishit dhe produkteve nga mishi, duke bërë dallimin ndërmjet produkteve të ndryshme të mishit  dhe implikimeve industrinë ushqimore dhe atyre shëndetësore.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189C377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Organizimi dhe përcjellja e informacionit teknik dhe përkatës në mënyrë efektive, me gojë dhe me shkrim, duke siguruar qartësi dhe saktësi për një audiencë të ndryshme, duke përfshirë mbikëqyrësit, kolegët dhe konsumatorët.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D1C6840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• Ekzekutimi dhe drejtimi I  projekteve kërkimore në shkencën e ushqimit, duke lundruar në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kompleksicitetin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 e shkencës së të ushqyerit dhe ushtrimeve, veçanërisht të përfitimit dhe përpunimit të mishit në produkte të tij, duke marrë parasysh dimensionet etike, kulturore dhe mjedisore.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5D825AF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Interpretimi, krahasimi dhe klasifikimi I gjetjeve nga kërkimi i mishit dhe produkteve të mishit, duke siguruar që vendimet dhe rezultatet të përputhen me standardet e vendosura dhe praktikat më të mira.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02A7A86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Ushtrimi autonom dhe iniciativat në identifikimin e ndërveprimeve të lidhura me kualitetin e produkteve nga mishit dhe faktorëve të cilët mund të ndikojnë në devalvimin kualitativ të tyre duke hartuar masa optimale për ruajtjen e kualitetit të këtyre lëndëve.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8AB3941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Adresimi dhe zgjidhja e problemeve komplekse që lidhen me përfitimin e produkteve nga mishi duke shfrytëzuar njohuritë e integruara nga fusha të ndryshme të shkencës ushqimore.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BC02C88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67946E8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3. Zhvillimi i aftësive praktike: 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45A20288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Interpretimi, krahasimi dhe klasifikimi I gjetjeve nga kërkimi I mishit dhe produkteve nga mishi, duke siguruar që vendimet dhe rezultatet të përputhen me standardet e vendosura dhe praktikat më të mira.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347E37C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Ushtrimi autonomi dhe iniciativat në identifikimin e ndërveprimeve të lidhura me kualitetin e mishit dhe produkteve të mishit si dhe faktorëve të cilët mund të ndikojnë në devalvimin kualitativ të tyre duke hartuar masa optimale për ruajtjen e kualitetit të këtyre produkteve. 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7EF0236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Adresimi dhe zgjidhja e problemeve komplekse që lidhen me përfitimin e mishit dhe produkteve të tij përmes shfrytëzimit të njohurive të integruara nga fusha të ndryshme të shkencës ushqimore.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7349654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777DDA5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4.  Qasja e bazuar në dëshmi: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C7EE792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lastRenderedPageBreak/>
              <w:t>• Adresimi dhe zgjidhja e problemeve komplekse që lidhen me përfitimin e mishit dhe produkteve nga mishi duke shfrytëzuar njohuritë e integruara nga fusha të ndryshme të shkencës ushqimore 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B86A3B5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• Angazhimi në  mësim të vazhdueshëm, duke qëndruar të përditësuar me tendencat, sfidat dhe risitë më të fundit në fushën e studimit të mishit dhe produkteve të tij dhe të ushtrimeve për vlerësimin e kualitetit të tyre.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7431E2A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B0979" w:rsidRPr="004B0979" w14:paraId="4B51067B" w14:textId="77777777" w:rsidTr="004B0979">
        <w:trPr>
          <w:trHeight w:val="285"/>
        </w:trPr>
        <w:tc>
          <w:tcPr>
            <w:tcW w:w="1888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6342B1D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lastRenderedPageBreak/>
              <w:t>Përmbajtja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51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4A66DCB0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val="sq-AL"/>
                <w14:ligatures w14:val="none"/>
              </w:rPr>
              <w:t>Përmbajtja e Leksioneve/Plani javor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672D2E2B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sq-AL"/>
                <w14:ligatures w14:val="none"/>
              </w:rPr>
              <w:t>Java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B0979" w:rsidRPr="004B0979" w14:paraId="6AE557C1" w14:textId="77777777" w:rsidTr="004B0979">
        <w:trPr>
          <w:trHeight w:val="42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E7274DF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A8733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Vetitë kimike dhe fizike të mishit                          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1707E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1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3FD7ADDA" w14:textId="77777777" w:rsidTr="004B0979">
        <w:trPr>
          <w:trHeight w:val="3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B6479FA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85731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Transporti i kafshëve për therje dhe objektet e thertores                         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5D7E1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2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33060CCD" w14:textId="77777777" w:rsidTr="004B0979">
        <w:trPr>
          <w:trHeight w:val="43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035593D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5938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Procedurat e therjes së kafshëve në thertore                      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48DEF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3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17EA7011" w14:textId="77777777" w:rsidTr="004B0979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A25DB6F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FE552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Maturimi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, klasifikimi dhe kategorizimi i mishit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D7D3E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4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78293158" w14:textId="77777777" w:rsidTr="004B0979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7DA0D07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278A5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Vlerësimi i mishit për parregullsi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B2722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5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008C92DB" w14:textId="77777777" w:rsidTr="004B0979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F56EFAF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5EA03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Metodat e konservimit të mishit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F3BF9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6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5BFBEC1F" w14:textId="77777777" w:rsidTr="004B0979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BEA9568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272F3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Prezantimi i Seminareve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0B425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7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1E06CD10" w14:textId="77777777" w:rsidTr="004B0979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A9E44B0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E1590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Konservimi i mishit në kuti – konservat  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E184C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8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2BFE82B3" w14:textId="77777777" w:rsidTr="004B0979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5F5B429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D381A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Sallamet   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E018F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9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25E754B9" w14:textId="77777777" w:rsidTr="004B0979">
        <w:trPr>
          <w:trHeight w:val="42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DE8C5E5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CDD39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Proshuta dhe produktet tradicionale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FB74A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10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67586973" w14:textId="77777777" w:rsidTr="004B0979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6A9F195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5B9B2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Teknologjia e përpunimit të mishit të shpendëve       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1AFF6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11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2A6307D7" w14:textId="77777777" w:rsidTr="004B0979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5D24EFF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D6DE5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Teknologjia e përpunimit të mishit të peshkut        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DBB30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12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1E591ACE" w14:textId="77777777" w:rsidTr="004B0979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430900F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357D4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Teknologjia e nënprodukteve                   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D4BAF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13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51ED7973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44C14365" w14:textId="77777777" w:rsidTr="004B0979">
        <w:trPr>
          <w:trHeight w:val="43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B660522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FE14F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Prezantimi i rasteve studimore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38C7B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14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099BF654" w14:textId="77777777" w:rsidTr="004B0979">
        <w:trPr>
          <w:trHeight w:val="435"/>
        </w:trPr>
        <w:tc>
          <w:tcPr>
            <w:tcW w:w="1888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5434525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072E9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Vlerësimi përfundimtar</w:t>
            </w:r>
            <w:r w:rsidRPr="004B097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1FA6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lang w:val="sq-AL"/>
                <w14:ligatures w14:val="none"/>
              </w:rPr>
              <w:t>15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4B0979" w:rsidRPr="004B0979" w14:paraId="07DBECB3" w14:textId="77777777" w:rsidTr="004B0979">
        <w:trPr>
          <w:trHeight w:val="375"/>
        </w:trPr>
        <w:tc>
          <w:tcPr>
            <w:tcW w:w="1888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F45B1E2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Mësimdhënie/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6FC5FBDF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Të mësuarit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195C92E0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Metodat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F7B4E68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Aktiviteti mësimor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87B93A6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Pesha (%)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0979" w:rsidRPr="004B0979" w14:paraId="392CB77F" w14:textId="77777777" w:rsidTr="004B0979">
        <w:trPr>
          <w:trHeight w:val="11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1B1434A5" w14:textId="77777777" w:rsidR="004B0979" w:rsidRPr="004B0979" w:rsidRDefault="004B0979" w:rsidP="004B0979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464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7F7F7F"/>
              <w:right w:val="single" w:sz="6" w:space="0" w:color="auto"/>
            </w:tcBorders>
            <w:hideMark/>
          </w:tcPr>
          <w:p w14:paraId="71345875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0327B64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1. Ligjërata: 15%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BB45A9C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-Qëllimi: Të prezantohen konceptet, modelet dhe teoritë kryesore në menaxhimin e njohurive në teknologjinë e përpunimit të mishit 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104DDC0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-Relevante për: Ndërtimi i të kuptuarit themelor dhe sigurimi i një kuadri teorik për lëndën.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2BBF71F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2. Studime dhe analiza të rasteve: 25%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30046170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-Qëllimi: Të zbatohen njohuritë teorike në skenarë praktikë në analizimin e mostrave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331AE539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-E rëndësishme për: Vlerësimin kritik të efektivitetit të menaxhimit të njohurive në kontekste të ndryshme dhe reflektimin mbi shembuj praktikë.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9D885E3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3. Diskutimet dhe seminaret në grup: 20%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295288F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-Qëllimi: Të inkurajojë të mësuarit ndërveprues, shkëmbimin e ideve dhe zhvillimin e të menduarit kritik.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F41E0A5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-Relevante për: Diskutimin e modeleve dhe teorive të ndryshme në thellësi dhe reflektimin mbi zbatimin e tyre në teknologjinë e përpunimit të mishit.  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D540CF4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4. Puna në projekt: 20%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C81E5E1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lastRenderedPageBreak/>
              <w:t>-Qëllimi: Të nxisë kreativitetin, zbatimin e aftësive praktike dhe të nxënit në bashkëpunim.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3E5C9851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-E rëndësishme për: Zhvillimin e mënyrave të reja dhe krijuese të menaxhimit të njohurive në kontekstet e kursit te mishit dhe produkteve të tij dhe identifikimin e barrierave dhe lehtësuesve për menaxhimin e njohurive.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14C4262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5. Detyrat dhe Punimet Kërkimore: 10%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59B4CBE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-Qëllimi: Për të rritur aftësitë kërkimore dhe aftësinë për të analizuar në mënyrë kritike informacionin.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1DBF623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 -Relevante për: Studim të thelluar të temave specifike brenda menaxhimit të njohurive, duke rritur të kuptuarit përmes kërkimit.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3E7E44E0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6. Ligjërata dhe seminare të ftuar: 10%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D252D01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 Qëllimi: Të ofrojë ekspozim ndaj ekspertëve të industrisë dhe njohuri praktike.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63C3ADB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-Relevante për: Fitimi i këndvështrimeve të ndryshme mbi praktikat dhe sfidat e menaxhimit të  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FAAC5F1" w14:textId="77777777" w:rsidR="004B0979" w:rsidRPr="004B0979" w:rsidRDefault="004B0979" w:rsidP="004B09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 njohurive në proceset teknologjike të përpunimit të mishit.  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57874FC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0979" w:rsidRPr="004B0979" w14:paraId="4527805E" w14:textId="77777777" w:rsidTr="004B0979">
        <w:trPr>
          <w:trHeight w:val="30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38855B6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lastRenderedPageBreak/>
              <w:t>Literatura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204CE10A" w14:textId="77777777" w:rsidR="004B0979" w:rsidRPr="004B0979" w:rsidRDefault="004B0979" w:rsidP="004B0979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061FFC5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Xhavit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Bytyçi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 xml:space="preserve"> (2023) “Teknologjia e përpunimit të mishit” Prishtinë,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A9DF8D1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Bijo, B. (2012):  Higjiena e ushqimeve me origjine shtazore, Universiteti Bujqësor I Tiranës.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95F3201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Bijo, B. (2007): Higjiena e mishit dhe Thertoreve, Universiteti Bujqësor I Tiranës.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40E4687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Shoshi, N. (2014): Higjiena veterinare, Universiteti Bujqësor I Tiranës.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32B46DAE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Prof.dr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Ahmed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Smajić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,(2014),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Prerada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mesa, 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Poljoprivredno-prehrambeni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fakultet,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Sarajevo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,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EE06E5F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Prof.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dr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Jovan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Rašeta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Prof.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dr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Miroslav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Dakić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,(1984)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Higijena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mesa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zivine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I jaja, 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Veterinarski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Fakultet, Beograd,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2F71B44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Gerhard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Feiner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  (2006):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Meat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products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handbook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England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,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CDDB0A2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Jhari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Sahoo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Manish Kumar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Chatli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(2016)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Meat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Poultry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and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Fish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Technology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-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FCE01C7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New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Delh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D2721B6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Blackwell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Publishing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(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Nollet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L.M.L. )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Handbook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of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meat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Poultry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&amp;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Seafood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Quality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,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145049B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Miroslav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Jůzl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Šárka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Nedomová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(2015):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Quality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of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animal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products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Mendel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University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  in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Brno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FCE7EB4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Leo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M. L.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Nollet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(2012): 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Handbook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of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Meat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Poultry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and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Seafood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Quality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Department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of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Engineering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Sciences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Hogeschool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Gent,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Ghent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Belgium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FDFBBC6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Leo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M.L.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Nollet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and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Fidel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Toldrá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  ( 2011) :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Safety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analysis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of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foods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of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animal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origin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533627D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Fidel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Todra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(2010) :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Handbook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of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meat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Processing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F561ACB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-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Jhari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Sahoo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Manish Kumar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Chatli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(2016)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Meat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Poultry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and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Fish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Technology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New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Delhi</w:t>
            </w: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54EBF3A" w14:textId="77777777" w:rsidR="004B0979" w:rsidRPr="004B0979" w:rsidRDefault="004B0979" w:rsidP="004B097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Blackie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Academi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c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and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Professional (Hall, G.M..); Fish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processing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technology</w:t>
            </w:r>
            <w:proofErr w:type="spellEnd"/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90AFA0C" w14:textId="77777777" w:rsidR="004B0979" w:rsidRPr="004B0979" w:rsidRDefault="004B0979" w:rsidP="004B0979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0979" w:rsidRPr="004B0979" w14:paraId="3145A88E" w14:textId="77777777" w:rsidTr="004B0979">
        <w:trPr>
          <w:trHeight w:val="30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774601B" w14:textId="77777777" w:rsidR="004B0979" w:rsidRPr="004B0979" w:rsidRDefault="004B0979" w:rsidP="004B09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sq-AL"/>
                <w14:ligatures w14:val="none"/>
              </w:rPr>
              <w:t>Kontakti</w:t>
            </w:r>
            <w:r w:rsidRPr="004B097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697A9FF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36192B2" w14:textId="77777777" w:rsidR="004B0979" w:rsidRPr="004B0979" w:rsidRDefault="004B0979" w:rsidP="004B09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B0979">
              <w:rPr>
                <w:rFonts w:ascii="Calibri" w:eastAsia="Times New Roman" w:hAnsi="Calibri" w:cs="Calibri"/>
                <w:b/>
                <w:bCs/>
                <w:kern w:val="0"/>
                <w:lang w:val="sq-AL"/>
                <w14:ligatures w14:val="none"/>
              </w:rPr>
              <w:t>xhavit.bytyci</w:t>
            </w:r>
            <w:hyperlink r:id="rId5" w:tgtFrame="_blank" w:history="1">
              <w:r w:rsidRPr="004B0979">
                <w:rPr>
                  <w:rFonts w:ascii="Arial" w:eastAsia="Times New Roman" w:hAnsi="Arial" w:cs="Arial"/>
                  <w:b/>
                  <w:bCs/>
                  <w:kern w:val="0"/>
                  <w:sz w:val="20"/>
                  <w:szCs w:val="20"/>
                  <w:u w:val="single"/>
                  <w:lang w:val="sq-AL"/>
                  <w14:ligatures w14:val="none"/>
                </w:rPr>
                <w:t>@ubt-uni.net</w:t>
              </w:r>
            </w:hyperlink>
            <w:r w:rsidRPr="004B09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val="sq-AL"/>
                <w14:ligatures w14:val="none"/>
              </w:rPr>
              <w:t xml:space="preserve"> ; </w:t>
            </w:r>
            <w:r w:rsidRPr="004B0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val="sq-AL"/>
                <w14:ligatures w14:val="none"/>
              </w:rPr>
              <w:t>ardit.avdimetaj</w:t>
            </w:r>
            <w:r w:rsidRPr="004B09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val="sq-AL"/>
                <w14:ligatures w14:val="none"/>
              </w:rPr>
              <w:t>@ubt-uni.net</w:t>
            </w:r>
            <w:r w:rsidRPr="004B097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8602D05" w14:textId="77777777" w:rsidR="004B0979" w:rsidRPr="004B0979" w:rsidRDefault="004B0979" w:rsidP="004B0979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</w:p>
    <w:p w14:paraId="2F9C41E3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F2D88"/>
    <w:multiLevelType w:val="multilevel"/>
    <w:tmpl w:val="E34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D7664"/>
    <w:multiLevelType w:val="multilevel"/>
    <w:tmpl w:val="4C9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885DA1"/>
    <w:multiLevelType w:val="multilevel"/>
    <w:tmpl w:val="659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C21C56"/>
    <w:multiLevelType w:val="multilevel"/>
    <w:tmpl w:val="71F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45571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0207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75622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213879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66"/>
    <w:rsid w:val="002F71EA"/>
    <w:rsid w:val="004B0979"/>
    <w:rsid w:val="00982A66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D8ABB-6F73-40ED-AAA7-EAFCE31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gim.mest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2024-03-28T13:17:00Z</dcterms:created>
  <dcterms:modified xsi:type="dcterms:W3CDTF">2024-03-28T13:17:00Z</dcterms:modified>
</cp:coreProperties>
</file>