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55" w:type="dxa"/>
        <w:tblInd w:w="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335"/>
        <w:gridCol w:w="2794"/>
        <w:gridCol w:w="1268"/>
        <w:gridCol w:w="1313"/>
        <w:gridCol w:w="2545"/>
      </w:tblGrid>
      <w:tr w:rsidR="00303D82" w:rsidRPr="00303D82" w14:paraId="36C6891C" w14:textId="77777777" w:rsidTr="00303D82">
        <w:tc>
          <w:tcPr>
            <w:tcW w:w="233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45CBFA74" w14:textId="77777777" w:rsidR="00303D82" w:rsidRPr="00303D82" w:rsidRDefault="00303D82" w:rsidP="00303D82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03D82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Lënda</w:t>
            </w:r>
            <w:proofErr w:type="spellEnd"/>
          </w:p>
          <w:p w14:paraId="3D541985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5E63D3F0" w14:textId="77777777" w:rsidR="00303D82" w:rsidRPr="00303D82" w:rsidRDefault="00303D82" w:rsidP="00303D8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D82">
              <w:rPr>
                <w:rFonts w:ascii="Arial" w:hAnsi="Arial"/>
                <w:b/>
                <w:sz w:val="20"/>
                <w:szCs w:val="20"/>
              </w:rPr>
              <w:t>SHKRIMI AKADEMIK DHE METODAT E HULUMTIMIT</w:t>
            </w:r>
          </w:p>
        </w:tc>
      </w:tr>
      <w:tr w:rsidR="00303D82" w:rsidRPr="00303D82" w14:paraId="1A5908D2" w14:textId="77777777" w:rsidTr="00303D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986D8BA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45354471" w14:textId="77777777" w:rsidR="00303D82" w:rsidRPr="00303D82" w:rsidRDefault="00303D82" w:rsidP="00303D8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Lloji</w:t>
            </w:r>
            <w:proofErr w:type="spellEnd"/>
          </w:p>
          <w:p w14:paraId="278F7A0B" w14:textId="77777777" w:rsidR="00303D82" w:rsidRPr="00303D82" w:rsidRDefault="00303D82" w:rsidP="00303D8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649CD6A" w14:textId="77777777" w:rsidR="00303D82" w:rsidRPr="00303D82" w:rsidRDefault="00303D82" w:rsidP="00303D8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85A380C" w14:textId="77777777" w:rsidR="00303D82" w:rsidRPr="00303D82" w:rsidRDefault="00303D82" w:rsidP="00303D8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D82">
              <w:rPr>
                <w:rFonts w:ascii="Arial" w:hAnsi="Arial"/>
                <w:b/>
                <w:sz w:val="20"/>
                <w:szCs w:val="20"/>
              </w:rPr>
              <w:t>ECTS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824E459" w14:textId="77777777" w:rsidR="00303D82" w:rsidRPr="00303D82" w:rsidRDefault="00303D82" w:rsidP="00303D8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D82">
              <w:rPr>
                <w:rFonts w:ascii="Arial" w:hAnsi="Arial"/>
                <w:b/>
                <w:sz w:val="20"/>
                <w:szCs w:val="20"/>
              </w:rPr>
              <w:t>Kodi</w:t>
            </w:r>
          </w:p>
        </w:tc>
      </w:tr>
      <w:tr w:rsidR="00303D82" w:rsidRPr="00303D82" w14:paraId="0CD4D394" w14:textId="77777777" w:rsidTr="00303D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4B415A3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BAEF4A4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Obligative (O)</w:t>
            </w:r>
          </w:p>
          <w:p w14:paraId="31EC1D08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A2293A6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B8715AE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8578DE6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130TSR352</w:t>
            </w:r>
          </w:p>
          <w:p w14:paraId="51EB9AA7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698DA4C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FB8973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D82" w:rsidRPr="00303D82" w14:paraId="28B43328" w14:textId="77777777" w:rsidTr="00303D82">
        <w:trPr>
          <w:trHeight w:val="710"/>
        </w:trPr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dotted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BC57D3A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Ligjerues</w:t>
            </w:r>
            <w:proofErr w:type="spellEnd"/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lëndës</w:t>
            </w:r>
            <w:proofErr w:type="spellEnd"/>
          </w:p>
          <w:p w14:paraId="4261F735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Asistent</w:t>
            </w:r>
            <w:proofErr w:type="spellEnd"/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lëndës</w:t>
            </w:r>
            <w:proofErr w:type="spellEnd"/>
          </w:p>
          <w:p w14:paraId="43557DA0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Tutor I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1C14701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Prof. Dr. Suzana Aliu,</w:t>
            </w:r>
          </w:p>
          <w:p w14:paraId="2ECDD013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 xml:space="preserve">Prof. Asst. Dr.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Lumta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Dida </w:t>
            </w:r>
          </w:p>
        </w:tc>
      </w:tr>
      <w:tr w:rsidR="00303D82" w:rsidRPr="00303D82" w14:paraId="326FCF23" w14:textId="77777777" w:rsidTr="00303D82">
        <w:trPr>
          <w:trHeight w:val="1837"/>
        </w:trPr>
        <w:tc>
          <w:tcPr>
            <w:tcW w:w="2335" w:type="dxa"/>
            <w:tcBorders>
              <w:top w:val="dotted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241B5F99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Qëllimi</w:t>
            </w:r>
            <w:proofErr w:type="spellEnd"/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92F30CC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akademik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metodat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hulumtimit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eshte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nje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lende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me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karakter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interdisciplinar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qe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ka ate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beje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me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studimin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kategorive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themelore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akademik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njohja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me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tipat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modelet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themelore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akademik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-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esese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seminarit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punimit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diplomes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disertacioneve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shkallave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ndryshme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ushtrimi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pervetsimi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3D82">
              <w:rPr>
                <w:rFonts w:ascii="Arial" w:hAnsi="Arial"/>
                <w:sz w:val="20"/>
                <w:szCs w:val="20"/>
              </w:rPr>
              <w:t>tyre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zhvillimi</w:t>
            </w:r>
            <w:proofErr w:type="spellEnd"/>
            <w:proofErr w:type="gram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mendimit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kritik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Gjithshtu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perdorimin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teknikave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metodave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hulumtimit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ne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sferen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biznesit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duke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fokusuar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metodat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kyce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sic jane ajo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kualitative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kuantitative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duke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pasur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parsaysh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krijimin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nje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struktue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simuluar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hulumtuese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me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karakter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efikas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Lidhur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me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metodat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ne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fokus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ajo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kuantitative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kualitative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fokusi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me </w:t>
            </w:r>
            <w:proofErr w:type="spellStart"/>
            <w:proofErr w:type="gramStart"/>
            <w:r w:rsidRPr="00303D82">
              <w:rPr>
                <w:rFonts w:ascii="Arial" w:hAnsi="Arial"/>
                <w:sz w:val="20"/>
                <w:szCs w:val="20"/>
              </w:rPr>
              <w:t>shume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 do</w:t>
            </w:r>
            <w:proofErr w:type="gram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vendoset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ne 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menyren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implementimit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tyre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ne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praktike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me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pak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ne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aspektin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teorik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. Lenda,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gjithashtu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do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ofroje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studenteve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informacione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qe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kane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bejne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me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njohurite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themelore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rreth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trajnimit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perdorimit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paketit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softwerit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ekonometrik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.  </w:t>
            </w:r>
          </w:p>
        </w:tc>
      </w:tr>
      <w:tr w:rsidR="00303D82" w:rsidRPr="00303D82" w14:paraId="7715141A" w14:textId="77777777" w:rsidTr="00303D82">
        <w:trPr>
          <w:trHeight w:val="4562"/>
        </w:trPr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066A4111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Rezultatet</w:t>
            </w:r>
            <w:proofErr w:type="spellEnd"/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nxënit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354EEA5D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  <w:lang w:val="sq-AL"/>
              </w:rPr>
            </w:pPr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Pas mbarimit te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ligjeratave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te lendes, studentet duhet te jene te afte te: </w:t>
            </w:r>
          </w:p>
          <w:p w14:paraId="2F81CCAD" w14:textId="77777777" w:rsidR="00303D82" w:rsidRPr="00303D82" w:rsidRDefault="00303D82" w:rsidP="00303D82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  <w:lang w:val="sq-AL"/>
              </w:rPr>
            </w:pPr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Të provojnë veten se si të shkruajnë për një temë të caktuar  </w:t>
            </w:r>
          </w:p>
          <w:p w14:paraId="2195C8FD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  <w:lang w:val="sq-AL"/>
              </w:rPr>
            </w:pPr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Të mësojnë si të hyjnë në temë , si ta zhvillojnë, si ta mbyllin atë  </w:t>
            </w:r>
          </w:p>
          <w:p w14:paraId="0A4C57F9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  <w:lang w:val="sq-AL"/>
              </w:rPr>
            </w:pPr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Të lexojnë në mënyrë aktive dhe kërkuese, pra të fitojnë një qasje të të lexuarit kritik  </w:t>
            </w:r>
          </w:p>
          <w:p w14:paraId="2DD79891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shkruajnë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draftet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304B37D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T’u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largohen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fjalëve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tepërta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boshe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666A0D2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mësojnë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përdorin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gjejnë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burimet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A346D08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zhvillojnë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mendimin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analitik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gjatë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akademik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847B674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mësojnë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për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format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303D82">
              <w:rPr>
                <w:rFonts w:ascii="Arial" w:hAnsi="Arial"/>
                <w:sz w:val="20"/>
                <w:szCs w:val="20"/>
              </w:rPr>
              <w:t xml:space="preserve">(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raporti</w:t>
            </w:r>
            <w:proofErr w:type="spellEnd"/>
            <w:proofErr w:type="gram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shkresa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letrat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biznesit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>, E-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maili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letrat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aplikimit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etj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.) </w:t>
            </w:r>
          </w:p>
          <w:p w14:paraId="522F6538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mësojnë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përpilohet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projekti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organizimi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në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grupe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prezantimi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F4AF074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Te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analizojne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projektin hulumtues, shikua nga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kendveshtrimi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i 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analizes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kritike.</w:t>
            </w:r>
          </w:p>
          <w:p w14:paraId="78F78D8B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Te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bejne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dallimin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ndermjet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qasjeve kuantitative dhe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kualitatvie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dhe metodave qe kane te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bejne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me qasjet ne fjale. </w:t>
            </w:r>
          </w:p>
          <w:p w14:paraId="4BFE13FE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Te jene ne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gjendsje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te zgjedhin ose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seleksionojne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metodat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mirefillta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rreth mbledhjes se te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dhenave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qe kane te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bejne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me problemin.  </w:t>
            </w:r>
          </w:p>
          <w:p w14:paraId="6D51D2E9" w14:textId="77777777" w:rsidR="00303D82" w:rsidRPr="00303D82" w:rsidRDefault="00303D82" w:rsidP="00303D82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Te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pregadisin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ne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mini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-prezantim rreth simulimit te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nje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propozimi te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  <w:lang w:val="sq-AL"/>
              </w:rPr>
              <w:t>nje</w:t>
            </w:r>
            <w:proofErr w:type="spellEnd"/>
            <w:r w:rsidRPr="00303D82">
              <w:rPr>
                <w:rFonts w:ascii="Arial" w:hAnsi="Arial"/>
                <w:sz w:val="20"/>
                <w:szCs w:val="20"/>
                <w:lang w:val="sq-AL"/>
              </w:rPr>
              <w:t xml:space="preserve">  projekti te caktuar hulumtues.</w:t>
            </w:r>
          </w:p>
        </w:tc>
      </w:tr>
      <w:tr w:rsidR="00303D82" w:rsidRPr="00303D82" w14:paraId="68E02B52" w14:textId="77777777" w:rsidTr="00303D82">
        <w:trPr>
          <w:trHeight w:hRule="exact" w:val="288"/>
        </w:trPr>
        <w:tc>
          <w:tcPr>
            <w:tcW w:w="233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7EB1132A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Përmbajtja</w:t>
            </w:r>
            <w:proofErr w:type="spellEnd"/>
          </w:p>
        </w:tc>
        <w:tc>
          <w:tcPr>
            <w:tcW w:w="5375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6A393DD9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Plani</w:t>
            </w:r>
            <w:proofErr w:type="spellEnd"/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punës</w:t>
            </w:r>
            <w:proofErr w:type="spellEnd"/>
          </w:p>
          <w:p w14:paraId="310696F5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4DA08C6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1B8F709E" w14:textId="77777777" w:rsidR="00303D82" w:rsidRPr="00303D82" w:rsidRDefault="00303D82" w:rsidP="00303D8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D82">
              <w:rPr>
                <w:rFonts w:ascii="Arial" w:hAnsi="Arial"/>
                <w:b/>
                <w:sz w:val="20"/>
                <w:szCs w:val="20"/>
              </w:rPr>
              <w:t>Java</w:t>
            </w:r>
          </w:p>
        </w:tc>
      </w:tr>
      <w:tr w:rsidR="00303D82" w:rsidRPr="00303D82" w14:paraId="17F7C5D3" w14:textId="77777777" w:rsidTr="00303D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7AEAE564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F3028" w14:textId="77777777" w:rsidR="00303D82" w:rsidRPr="00303D82" w:rsidRDefault="00303D82" w:rsidP="00303D8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Prezantimi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lëndës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–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kuptojmë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mënyrën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shkruarit</w:t>
            </w:r>
            <w:proofErr w:type="spellEnd"/>
          </w:p>
          <w:p w14:paraId="649727B3" w14:textId="77777777" w:rsidR="00303D82" w:rsidRPr="00303D82" w:rsidRDefault="00303D82" w:rsidP="00303D8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14:paraId="15DAEE93" w14:textId="77777777" w:rsidR="00303D82" w:rsidRPr="00303D82" w:rsidRDefault="00303D82" w:rsidP="00303D8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14:paraId="0AFF2A23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shkruarit</w:t>
            </w:r>
            <w:proofErr w:type="spellEnd"/>
          </w:p>
          <w:p w14:paraId="7A00450C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Formulimi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analiza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temës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kërkimit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765D05F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303D82" w:rsidRPr="00303D82" w14:paraId="20DEFB5C" w14:textId="77777777" w:rsidTr="00303D82">
        <w:trPr>
          <w:trHeight w:hRule="exact" w:val="326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176CE621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7C5357D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draftit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pare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rishikimi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3A1CA68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303D82" w:rsidRPr="00303D82" w14:paraId="73E90309" w14:textId="77777777" w:rsidTr="00303D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55DAA67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5EEAD1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Rishikimi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kritik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literaturës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5630CA5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303D82" w:rsidRPr="00303D82" w14:paraId="2CB828B4" w14:textId="77777777" w:rsidTr="00303D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4D265C17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3A7C6E1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Formimi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paragrafëve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. Forma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lënda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paragrafëve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6858E7C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303D82" w:rsidRPr="00303D82" w14:paraId="62B9C366" w14:textId="77777777" w:rsidTr="00303D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FFE4C52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C2B1D7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Paragrafët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hyrës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Paragrafët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mbyllës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D2D6CF5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303D82" w:rsidRPr="00303D82" w14:paraId="3E68F5E1" w14:textId="77777777" w:rsidTr="00303D82">
        <w:trPr>
          <w:trHeight w:hRule="exact" w:val="55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0B8A1C70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71BC3E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Formulimi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Dizajnimit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Kërkimeve</w:t>
            </w:r>
            <w:proofErr w:type="spellEnd"/>
          </w:p>
          <w:p w14:paraId="424F8245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Kolekviumi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I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F45728B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6</w:t>
            </w:r>
          </w:p>
          <w:p w14:paraId="26484AC4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03D82" w:rsidRPr="00303D82" w14:paraId="3ADE7098" w14:textId="77777777" w:rsidTr="00303D82">
        <w:trPr>
          <w:trHeight w:hRule="exact" w:val="549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5BAD86D0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19BDBE" w14:textId="77777777" w:rsidR="00303D82" w:rsidRPr="00303D82" w:rsidRDefault="00303D82" w:rsidP="00303D8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Citimi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parafrazimi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përmbledhja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gjatë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punimeve</w:t>
            </w:r>
            <w:proofErr w:type="spellEnd"/>
          </w:p>
          <w:p w14:paraId="1590F63F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54388A7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303D82" w:rsidRPr="00303D82" w14:paraId="00F49CA8" w14:textId="77777777" w:rsidTr="00303D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02924FDD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0E8031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Mbledhja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analizimi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dhënave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158A667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303D82" w:rsidRPr="00303D82" w14:paraId="6913B85C" w14:textId="77777777" w:rsidTr="00303D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432A8756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196D1D3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Seminare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1FC59F4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303D82" w:rsidRPr="00303D82" w14:paraId="1AAE3310" w14:textId="77777777" w:rsidTr="00303D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34948FA4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5767D6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 xml:space="preserve">Analiza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Dhënave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E374DBE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303D82" w:rsidRPr="00303D82" w14:paraId="194FB1FD" w14:textId="77777777" w:rsidTr="00303D82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7E9B9C4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885C95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 xml:space="preserve">Analiza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Dhënave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654ABCE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303D82" w:rsidRPr="00303D82" w14:paraId="08799905" w14:textId="77777777" w:rsidTr="00303D82">
        <w:trPr>
          <w:trHeight w:hRule="exact" w:val="729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16BFA93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788DB4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Seminare</w:t>
            </w:r>
            <w:proofErr w:type="spellEnd"/>
          </w:p>
          <w:p w14:paraId="19E103FD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Kolekviumi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II</w:t>
            </w:r>
          </w:p>
          <w:p w14:paraId="6862D354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Testi final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252363A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13</w:t>
            </w:r>
          </w:p>
          <w:p w14:paraId="16F71A73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14</w:t>
            </w:r>
          </w:p>
          <w:p w14:paraId="20BE7D47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15</w:t>
            </w:r>
          </w:p>
          <w:p w14:paraId="46D8DBEB" w14:textId="77777777" w:rsidR="00303D82" w:rsidRPr="00303D82" w:rsidRDefault="00303D82" w:rsidP="00303D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D82" w:rsidRPr="00303D82" w14:paraId="5D5E9D41" w14:textId="77777777" w:rsidTr="00303D82"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BF015B4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47D7FC6" w14:textId="77777777" w:rsidR="00303D82" w:rsidRPr="00303D82" w:rsidRDefault="00303D82" w:rsidP="00303D82">
            <w:pPr>
              <w:ind w:left="720"/>
              <w:contextualSpacing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5D9B7930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Stephen Bailey, “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Akademic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Writing”, 2006. </w:t>
            </w:r>
          </w:p>
          <w:p w14:paraId="3085115D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Frank C.P. Harris, “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Mjeshtria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te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shkruarit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profesinanal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”,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Prishtinë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>, 2003.</w:t>
            </w:r>
          </w:p>
          <w:p w14:paraId="7BF7D7FA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pacing w:val="-1"/>
                <w:sz w:val="20"/>
                <w:szCs w:val="20"/>
              </w:rPr>
              <w:t>Za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303D82">
              <w:rPr>
                <w:rFonts w:ascii="Arial" w:hAnsi="Arial"/>
                <w:sz w:val="20"/>
                <w:szCs w:val="20"/>
              </w:rPr>
              <w:t>r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3D82">
              <w:rPr>
                <w:rFonts w:ascii="Arial" w:hAnsi="Arial"/>
                <w:spacing w:val="-1"/>
                <w:sz w:val="20"/>
                <w:szCs w:val="20"/>
              </w:rPr>
              <w:t>Ko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k</w:t>
            </w:r>
            <w:r w:rsidRPr="00303D82">
              <w:rPr>
                <w:rFonts w:ascii="Arial" w:hAnsi="Arial"/>
                <w:sz w:val="20"/>
                <w:szCs w:val="20"/>
              </w:rPr>
              <w:t>lı</w:t>
            </w:r>
            <w:proofErr w:type="spellEnd"/>
            <w:r w:rsidRPr="00303D82">
              <w:rPr>
                <w:rFonts w:ascii="Arial" w:hAnsi="Arial"/>
                <w:spacing w:val="-1"/>
                <w:sz w:val="20"/>
                <w:szCs w:val="20"/>
              </w:rPr>
              <w:t xml:space="preserve"> ,Re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ea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rc</w:t>
            </w:r>
            <w:r w:rsidRPr="00303D82">
              <w:rPr>
                <w:rFonts w:ascii="Arial" w:hAnsi="Arial"/>
                <w:sz w:val="20"/>
                <w:szCs w:val="20"/>
              </w:rPr>
              <w:t>h</w:t>
            </w:r>
            <w:proofErr w:type="gramEnd"/>
            <w:r w:rsidRPr="00303D82">
              <w:rPr>
                <w:rFonts w:ascii="Arial" w:hAnsi="Arial"/>
                <w:sz w:val="20"/>
                <w:szCs w:val="20"/>
              </w:rPr>
              <w:t xml:space="preserve"> M</w:t>
            </w:r>
            <w:r w:rsidRPr="00303D82">
              <w:rPr>
                <w:rFonts w:ascii="Arial" w:hAnsi="Arial"/>
                <w:spacing w:val="-2"/>
                <w:sz w:val="20"/>
                <w:szCs w:val="20"/>
              </w:rPr>
              <w:t>e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hod</w:t>
            </w:r>
            <w:r w:rsidRPr="00303D82">
              <w:rPr>
                <w:rFonts w:ascii="Arial" w:hAnsi="Arial"/>
                <w:sz w:val="20"/>
                <w:szCs w:val="20"/>
              </w:rPr>
              <w:t>s</w:t>
            </w:r>
            <w:r w:rsidRPr="00303D82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303D82">
              <w:rPr>
                <w:rFonts w:ascii="Arial" w:hAnsi="Arial"/>
                <w:sz w:val="20"/>
                <w:szCs w:val="20"/>
              </w:rPr>
              <w:t>r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pacing w:val="-1"/>
                <w:sz w:val="20"/>
                <w:szCs w:val="20"/>
              </w:rPr>
              <w:t>Bu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ss</w:t>
            </w:r>
            <w:r w:rsidRPr="00303D82">
              <w:rPr>
                <w:rFonts w:ascii="Arial" w:hAnsi="Arial"/>
                <w:sz w:val="20"/>
                <w:szCs w:val="20"/>
              </w:rPr>
              <w:t>i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nes</w:t>
            </w:r>
            <w:r w:rsidRPr="00303D82">
              <w:rPr>
                <w:rFonts w:ascii="Arial" w:hAnsi="Arial"/>
                <w:sz w:val="20"/>
                <w:szCs w:val="20"/>
              </w:rPr>
              <w:t>s</w:t>
            </w:r>
            <w:proofErr w:type="spellEnd"/>
            <w:r w:rsidRPr="00303D82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t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uden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ts</w:t>
            </w:r>
            <w:r w:rsidRPr="00303D82">
              <w:rPr>
                <w:rFonts w:ascii="Arial" w:hAnsi="Arial"/>
                <w:sz w:val="20"/>
                <w:szCs w:val="20"/>
              </w:rPr>
              <w:t>.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Sa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r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303D82">
              <w:rPr>
                <w:rFonts w:ascii="Arial" w:hAnsi="Arial"/>
                <w:spacing w:val="-2"/>
                <w:sz w:val="20"/>
                <w:szCs w:val="20"/>
              </w:rPr>
              <w:t>j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v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303D82">
              <w:rPr>
                <w:rFonts w:ascii="Arial" w:hAnsi="Arial"/>
                <w:sz w:val="20"/>
                <w:szCs w:val="20"/>
              </w:rPr>
              <w:t>;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Za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f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303D82">
              <w:rPr>
                <w:rFonts w:ascii="Arial" w:hAnsi="Arial"/>
                <w:sz w:val="20"/>
                <w:szCs w:val="20"/>
              </w:rPr>
              <w:t>r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spacing w:val="-1"/>
                <w:sz w:val="20"/>
                <w:szCs w:val="20"/>
              </w:rPr>
              <w:t>Ko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n</w:t>
            </w:r>
            <w:r w:rsidRPr="00303D82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303D82">
              <w:rPr>
                <w:rFonts w:ascii="Arial" w:hAnsi="Arial"/>
                <w:spacing w:val="1"/>
                <w:sz w:val="20"/>
                <w:szCs w:val="20"/>
              </w:rPr>
              <w:t>k</w:t>
            </w:r>
            <w:r w:rsidRPr="00303D82">
              <w:rPr>
                <w:rFonts w:ascii="Arial" w:hAnsi="Arial"/>
                <w:sz w:val="20"/>
                <w:szCs w:val="20"/>
              </w:rPr>
              <w:t>lı</w:t>
            </w:r>
            <w:proofErr w:type="spellEnd"/>
          </w:p>
          <w:p w14:paraId="6E257EB0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Bardhyl Musai (2004)</w:t>
            </w:r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si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shkruajmë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ese</w:t>
            </w:r>
            <w:r w:rsidRPr="00303D82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2F7A234B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 xml:space="preserve">Elona </w:t>
            </w:r>
            <w:proofErr w:type="spellStart"/>
            <w:proofErr w:type="gramStart"/>
            <w:r w:rsidRPr="00303D82">
              <w:rPr>
                <w:rFonts w:ascii="Arial" w:hAnsi="Arial"/>
                <w:sz w:val="20"/>
                <w:szCs w:val="20"/>
              </w:rPr>
              <w:t>Boce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 (</w:t>
            </w:r>
            <w:proofErr w:type="gram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2004)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si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shkruajmë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një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punim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kërkimor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BA8C9BC" w14:textId="77777777" w:rsidR="00303D82" w:rsidRPr="00303D82" w:rsidRDefault="00303D82" w:rsidP="00303D82">
            <w:pPr>
              <w:rPr>
                <w:rFonts w:ascii="Arial" w:hAnsi="Arial"/>
                <w:iCs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 xml:space="preserve">Majlinda </w:t>
            </w:r>
            <w:proofErr w:type="spellStart"/>
            <w:r w:rsidRPr="00303D82">
              <w:rPr>
                <w:rFonts w:ascii="Arial" w:hAnsi="Arial"/>
                <w:sz w:val="20"/>
                <w:szCs w:val="20"/>
              </w:rPr>
              <w:t>Nishku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 xml:space="preserve"> (2004) </w:t>
            </w:r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Si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të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shkruajmë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–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procesi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dhe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shkrimet</w:t>
            </w:r>
            <w:proofErr w:type="spellEnd"/>
            <w:r w:rsidRPr="00303D82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proofErr w:type="spellStart"/>
            <w:r w:rsidRPr="00303D82">
              <w:rPr>
                <w:rFonts w:ascii="Arial" w:hAnsi="Arial"/>
                <w:iCs/>
                <w:sz w:val="20"/>
                <w:szCs w:val="20"/>
              </w:rPr>
              <w:t>funksionale</w:t>
            </w:r>
            <w:proofErr w:type="spellEnd"/>
            <w:r w:rsidRPr="00303D82">
              <w:rPr>
                <w:rFonts w:ascii="Arial" w:hAnsi="Arial"/>
                <w:sz w:val="20"/>
                <w:szCs w:val="20"/>
              </w:rPr>
              <w:t>.</w:t>
            </w:r>
          </w:p>
          <w:p w14:paraId="15503B2B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Bob Matthews and Liz Ross (2010), RESEARCH METHODS, A practical guide for the social sciences</w:t>
            </w:r>
          </w:p>
          <w:p w14:paraId="41FA9C7D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  <w:r w:rsidRPr="00303D82">
              <w:rPr>
                <w:rFonts w:ascii="Arial" w:hAnsi="Arial"/>
                <w:sz w:val="20"/>
                <w:szCs w:val="20"/>
              </w:rPr>
              <w:t>Mark Saunders, Philip Lewis, Adrian Thornhill (2009), Research methods for business students, Fifth edition</w:t>
            </w:r>
          </w:p>
          <w:p w14:paraId="46524645" w14:textId="77777777" w:rsidR="00303D82" w:rsidRPr="00303D82" w:rsidRDefault="00303D82" w:rsidP="00303D8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03D82" w:rsidRPr="00303D82" w14:paraId="25D4B1AC" w14:textId="77777777" w:rsidTr="00303D82"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11C3BECD" w14:textId="77777777" w:rsidR="00303D82" w:rsidRPr="00303D82" w:rsidRDefault="00303D82" w:rsidP="00303D8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03D82">
              <w:rPr>
                <w:rFonts w:ascii="Arial" w:hAnsi="Arial"/>
                <w:b/>
                <w:sz w:val="20"/>
                <w:szCs w:val="20"/>
              </w:rPr>
              <w:t>Kontakti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1D7B7F70" w14:textId="77777777" w:rsidR="00303D82" w:rsidRPr="00303D82" w:rsidRDefault="00303D82" w:rsidP="00303D82">
            <w:pPr>
              <w:ind w:left="720"/>
              <w:contextualSpacing/>
              <w:rPr>
                <w:rFonts w:ascii="Arial" w:hAnsi="Arial"/>
                <w:sz w:val="20"/>
                <w:szCs w:val="20"/>
                <w:lang w:val="en-GB"/>
              </w:rPr>
            </w:pPr>
            <w:hyperlink r:id="rId5" w:history="1">
              <w:r w:rsidRPr="00303D82">
                <w:rPr>
                  <w:rFonts w:ascii="Arial" w:hAnsi="Arial"/>
                  <w:color w:val="0000FF"/>
                  <w:sz w:val="20"/>
                  <w:szCs w:val="20"/>
                  <w:u w:val="single"/>
                  <w:lang w:val="en-GB"/>
                </w:rPr>
                <w:t>lumta.dida@ubt-uni.net</w:t>
              </w:r>
            </w:hyperlink>
            <w:r w:rsidRPr="00303D82">
              <w:rPr>
                <w:rFonts w:ascii="Arial" w:hAnsi="Arial"/>
                <w:color w:val="0000FF"/>
                <w:sz w:val="20"/>
                <w:szCs w:val="20"/>
                <w:u w:val="single"/>
                <w:lang w:val="en-GB"/>
              </w:rPr>
              <w:t xml:space="preserve">; </w:t>
            </w:r>
          </w:p>
        </w:tc>
      </w:tr>
    </w:tbl>
    <w:p w14:paraId="264FE74A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D190F"/>
    <w:multiLevelType w:val="hybridMultilevel"/>
    <w:tmpl w:val="03A4F118"/>
    <w:lvl w:ilvl="0" w:tplc="3892C2B4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EF77F0"/>
    <w:multiLevelType w:val="hybridMultilevel"/>
    <w:tmpl w:val="6816979A"/>
    <w:lvl w:ilvl="0" w:tplc="C9B49BA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6509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961958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85"/>
    <w:rsid w:val="002F71EA"/>
    <w:rsid w:val="00303D82"/>
    <w:rsid w:val="00686885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71A48-CE04-4BB5-BCBB-47FF8C3A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D82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ta.did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2024-03-28T13:25:00Z</dcterms:created>
  <dcterms:modified xsi:type="dcterms:W3CDTF">2024-03-28T13:25:00Z</dcterms:modified>
</cp:coreProperties>
</file>