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865"/>
        <w:gridCol w:w="1455"/>
        <w:gridCol w:w="915"/>
        <w:gridCol w:w="2152"/>
      </w:tblGrid>
      <w:tr w:rsidR="001E0987" w14:paraId="02398E23" w14:textId="77777777" w:rsidTr="001E0987">
        <w:trPr>
          <w:trHeight w:val="495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1AB808B" w14:textId="77777777" w:rsidR="001E0987" w:rsidRDefault="001E098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hAnsi="Georgia" w:cs="Segoe UI"/>
                <w:b/>
                <w:bCs/>
                <w:color w:val="000000"/>
                <w:sz w:val="22"/>
                <w:szCs w:val="22"/>
                <w:lang w:val="en-GB"/>
              </w:rPr>
              <w:t>Lënda</w:t>
            </w:r>
            <w:proofErr w:type="spellEnd"/>
            <w:r>
              <w:rPr>
                <w:rFonts w:ascii="Georgia" w:hAnsi="Georgia" w:cs="Segoe UI"/>
                <w:color w:val="000000"/>
                <w:sz w:val="22"/>
                <w:szCs w:val="22"/>
              </w:rPr>
              <w:t> </w:t>
            </w:r>
          </w:p>
          <w:p w14:paraId="1B6F3143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185E0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Praktikë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987" w14:paraId="31ECF914" w14:textId="77777777" w:rsidTr="001E098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E8B2F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FE8C4D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Lloji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594B0D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Semesteri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A10CD7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ECTS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7642C8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Code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0CB4F2C6" w14:textId="77777777" w:rsidTr="001E0987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C4902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9BC47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OBLIGATIVE(O)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8AEA8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14C15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08E6E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4B768961" w14:textId="77777777" w:rsidTr="001E0987">
        <w:trPr>
          <w:trHeight w:val="54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4D23D1F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Ligjërus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F81A9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Prof. Asst.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Dr.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Medin Zeqiri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69E2177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MsC.Luljeta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Ajdini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39BD9A12" w14:textId="77777777" w:rsidTr="001E0987">
        <w:trPr>
          <w:trHeight w:val="61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D811C17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Assistant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F6DA0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</w:tr>
      <w:tr w:rsidR="001E0987" w14:paraId="7BBE4696" w14:textId="77777777" w:rsidTr="001E0987">
        <w:trPr>
          <w:trHeight w:val="24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9CC83A0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Qëllimet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Objektivat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257DB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Qëllimi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praktikës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njohin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qështjet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bazike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  duke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ndërlidhur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ate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pjesën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7515862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kenë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mundësinë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angazhohen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mënyrë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akademike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çështje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kanë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bëjnë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specializimin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përjetojnë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vendosje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B869C3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Objektivat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: Duke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bashkëpunuar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mentor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mbikqyerjen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teknologëve,nutricionistëve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menaxherëve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cilësisë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tjera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ndërlidhen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ushqimin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kryejnë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minimum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120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orëshe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semestrit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,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shumëllojshmëri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institucionesh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zgjedhur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listen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UBT 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partneritet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njejta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eshte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publikuar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platformen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MOODLE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qasje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987" w14:paraId="61149A12" w14:textId="77777777" w:rsidTr="001E0987">
        <w:trPr>
          <w:trHeight w:val="18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A6E625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Rezultatet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sz w:val="24"/>
                <w:szCs w:val="24"/>
                <w:lang w:val="en-GB"/>
              </w:rPr>
              <w:t>mësimit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80AD0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parashikon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mundësojë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përdorimin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suksesshëm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fituara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kurset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kontekst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studentët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zhvillojnë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shkathtësitë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plotësuar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kërkesat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jenë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gjendje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kuptojn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zhvillimin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industri,te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shofin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funksionon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sherbej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pregaditjen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9237A37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Pas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perfundimit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sukseshem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studentet,njohuritë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fituara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kurse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zhvillojn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shkathesit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tyre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profesionale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gjatë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tekuptojne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aspektin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ligjor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rregullativ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institucioni,organizate,kompanie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industrie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apo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shëndetos,sportive,institute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etj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987" w14:paraId="6096EEEF" w14:textId="77777777" w:rsidTr="001E0987">
        <w:trPr>
          <w:trHeight w:val="46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E679BBF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Përafrimi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rezultateve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kursit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rezultatet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programeve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EEE38" w14:textId="77777777" w:rsidR="001E0987" w:rsidRDefault="001E098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1.Zbatimi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8958952" w14:textId="77777777" w:rsidR="001E0987" w:rsidRDefault="001E098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Programi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Bsc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fokusohet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aplikimin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metodave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bazike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proofErr w:type="gram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bazë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BC20AB9" w14:textId="77777777" w:rsidR="001E0987" w:rsidRDefault="001E098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Kursi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menaxhimit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njohurive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Thekson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mendim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kritik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modeleve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kornizave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E221F77" w14:textId="77777777" w:rsidR="001E0987" w:rsidRDefault="001E098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2.Zhvillimi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aftësive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E1E0446" w14:textId="77777777" w:rsidR="001E0987" w:rsidRDefault="001E098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o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Programi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Bsc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Përfshin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kuptuarit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menaxhimit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teorisë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organizative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sfidat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industrinë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ushqimin,cilësisnë</w:t>
            </w:r>
            <w:proofErr w:type="spellEnd"/>
            <w:proofErr w:type="gram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,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sigurinë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,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analizave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senzorike,prodhimin,lëndët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para,përpunimi,deponimi,paketimi,distribuimi,standartet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ushqimore,praktikat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mira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të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prodhimi,praktikat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mira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higjenike,mbetjet,mjedisi,inovacionet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etj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>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1A49EEBC" w14:textId="77777777" w:rsidTr="001E0987">
        <w:trPr>
          <w:trHeight w:val="285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9592A42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Permbajtja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CB6DAE1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Plani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DF7A65B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0B5C8E1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lastRenderedPageBreak/>
              <w:t> </w:t>
            </w:r>
          </w:p>
          <w:p w14:paraId="58E80EB8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9897E69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AC37816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293BA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lastRenderedPageBreak/>
              <w:t>Java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58F53DC6" w14:textId="77777777" w:rsidTr="001E0987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86390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046CE" w14:textId="77777777" w:rsidR="001E0987" w:rsidRDefault="001E098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pare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2F37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4EB9A7F" w14:textId="77777777" w:rsidTr="001E098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FCB3E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DC18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dyte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C6501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2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5F9DF9C7" w14:textId="77777777" w:rsidTr="001E098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F0C0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AD4D5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Perzgjedhja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institucionit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trete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3DC7A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3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ECB88CD" w14:textId="77777777" w:rsidTr="001E0987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42FBE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86DCE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5340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4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497DEEFB" w14:textId="77777777" w:rsidTr="001E0987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C166A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9063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026D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5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198D1450" w14:textId="77777777" w:rsidTr="001E0987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5F5C9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321B9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Punë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179DE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6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E61C3CE" w14:textId="77777777" w:rsidTr="001E098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112A9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AFD1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6B746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7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BEEC7B4" w14:textId="77777777" w:rsidTr="001E0987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1ABB3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4C13A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Ofrimi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dëshmive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formularëve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përfunduar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5A7AE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8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6957515" w14:textId="77777777" w:rsidTr="001E098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02A38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07A7D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Ofrimi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power point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praktikat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realizuara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7E693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9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5BD7B119" w14:textId="77777777" w:rsidTr="001E0987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9A51C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EE07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kontrolli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B47A1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10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1747FCA4" w14:textId="77777777" w:rsidTr="001E098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1F31B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849A5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1C15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11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80F461E" w14:textId="77777777" w:rsidTr="001E098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3DD18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5C06D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dhe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kontrolli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i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prezentimeve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0638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12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27A72A9F" w14:textId="77777777" w:rsidTr="001E098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1DA72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61052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E983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13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580474AF" w14:textId="77777777" w:rsidTr="001E0987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ADC0B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7A5F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Konsultimet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B6953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14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6B1B0E1B" w14:textId="77777777" w:rsidTr="001E0987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D4E1E" w14:textId="77777777" w:rsidR="001E0987" w:rsidRDefault="001E0987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A7FF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Vlersimi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final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BA5F8" w14:textId="77777777" w:rsidR="001E0987" w:rsidRDefault="001E098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15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  <w:tr w:rsidR="001E0987" w14:paraId="76E9EEBB" w14:textId="77777777" w:rsidTr="001E098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7F91B0C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Literatura</w:t>
            </w:r>
            <w:proofErr w:type="spellEnd"/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F4AF0" w14:textId="77777777" w:rsidR="001E0987" w:rsidRDefault="001E098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1.Lista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marrveshjeve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industrite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ushqimore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63AC023" w14:textId="77777777" w:rsidR="001E0987" w:rsidRDefault="001E098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Institutions relevant to food and food industry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987" w14:paraId="4F39E222" w14:textId="77777777" w:rsidTr="001E0987">
        <w:trPr>
          <w:trHeight w:val="43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7786AFB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Contact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  <w:tc>
          <w:tcPr>
            <w:tcW w:w="7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CDA27" w14:textId="77777777" w:rsidR="001E0987" w:rsidRDefault="001E098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Prof. Asst. </w:t>
            </w:r>
            <w:proofErr w:type="spellStart"/>
            <w:r>
              <w:rPr>
                <w:rFonts w:ascii="Georgia" w:eastAsia="Times New Roman" w:hAnsi="Georgia" w:cs="Segoe UI"/>
                <w:color w:val="000000"/>
                <w:lang w:val="en-GB"/>
              </w:rPr>
              <w:t>Dr.</w:t>
            </w:r>
            <w:proofErr w:type="spellEnd"/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Medin ZEQIRI </w:t>
            </w: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hyperlink r:id="rId4" w:tgtFrame="_blank" w:history="1">
              <w:r>
                <w:rPr>
                  <w:rStyle w:val="Hyperlink"/>
                  <w:rFonts w:ascii="Georgia" w:eastAsia="Times New Roman" w:hAnsi="Georgia" w:cs="Segoe UI"/>
                  <w:b/>
                  <w:bCs/>
                  <w:color w:val="0070C0"/>
                  <w:u w:val="none"/>
                  <w:lang w:val="en-GB"/>
                </w:rPr>
                <w:t>medin.zeqiri@ubt-uni.net</w:t>
              </w:r>
            </w:hyperlink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</w:tc>
      </w:tr>
    </w:tbl>
    <w:p w14:paraId="2EADC1B9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D7"/>
    <w:rsid w:val="001E0987"/>
    <w:rsid w:val="002F71EA"/>
    <w:rsid w:val="00EC69D7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B4B23-9AE2-4ED4-BAB8-5D922673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8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98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E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n.zeqiri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2024-03-28T13:44:00Z</dcterms:created>
  <dcterms:modified xsi:type="dcterms:W3CDTF">2024-03-28T13:44:00Z</dcterms:modified>
</cp:coreProperties>
</file>