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6"/>
        <w:gridCol w:w="2535"/>
        <w:gridCol w:w="1118"/>
        <w:gridCol w:w="1152"/>
        <w:gridCol w:w="1573"/>
      </w:tblGrid>
      <w:tr w:rsidR="00CA52A1" w14:paraId="2622DC6E" w14:textId="77777777" w:rsidTr="00CA52A1">
        <w:trPr>
          <w:trHeight w:val="570"/>
        </w:trPr>
        <w:tc>
          <w:tcPr>
            <w:tcW w:w="2966" w:type="dxa"/>
            <w:vMerge w:val="restart"/>
            <w:tcBorders>
              <w:top w:val="single" w:sz="6" w:space="0" w:color="7F7F7F"/>
              <w:left w:val="single" w:sz="6" w:space="0" w:color="7F7F7F"/>
              <w:bottom w:val="single" w:sz="6" w:space="0" w:color="7F7F7F"/>
              <w:right w:val="single" w:sz="6" w:space="0" w:color="7F7F7F"/>
            </w:tcBorders>
            <w:shd w:val="clear" w:color="auto" w:fill="D9E2F3"/>
            <w:vAlign w:val="center"/>
            <w:hideMark/>
          </w:tcPr>
          <w:p w14:paraId="09A36091" w14:textId="77777777" w:rsidR="00CA52A1" w:rsidRDefault="00CA52A1">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b/>
                <w:bCs/>
                <w:color w:val="000000"/>
                <w:sz w:val="20"/>
                <w:szCs w:val="20"/>
              </w:rPr>
              <w:t>Lënda</w:t>
            </w:r>
            <w:r>
              <w:rPr>
                <w:rFonts w:ascii="Times New Roman" w:eastAsia="Times New Roman" w:hAnsi="Times New Roman" w:cs="Times New Roman"/>
                <w:color w:val="000000"/>
                <w:sz w:val="20"/>
                <w:szCs w:val="20"/>
              </w:rPr>
              <w:t> </w:t>
            </w:r>
          </w:p>
          <w:p w14:paraId="5BBC5ABD" w14:textId="77777777" w:rsidR="00CA52A1" w:rsidRDefault="00CA52A1">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rPr>
              <w:t> </w:t>
            </w:r>
          </w:p>
        </w:tc>
        <w:tc>
          <w:tcPr>
            <w:tcW w:w="6378" w:type="dxa"/>
            <w:gridSpan w:val="4"/>
            <w:tcBorders>
              <w:top w:val="single" w:sz="6" w:space="0" w:color="7F7F7F"/>
              <w:left w:val="single" w:sz="6" w:space="0" w:color="7F7F7F"/>
              <w:bottom w:val="nil"/>
              <w:right w:val="single" w:sz="6" w:space="0" w:color="7F7F7F"/>
            </w:tcBorders>
            <w:vAlign w:val="center"/>
            <w:hideMark/>
          </w:tcPr>
          <w:p w14:paraId="63F1EA1C" w14:textId="77777777" w:rsidR="00CA52A1" w:rsidRDefault="00CA52A1">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sz w:val="20"/>
                <w:szCs w:val="20"/>
              </w:rPr>
              <w:t>MENAXHIMI I INDUSTRISË USHQIMORE  </w:t>
            </w:r>
          </w:p>
          <w:p w14:paraId="52AF3220" w14:textId="77777777" w:rsidR="00CA52A1" w:rsidRDefault="00CA52A1">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rPr>
              <w:t> </w:t>
            </w:r>
          </w:p>
        </w:tc>
      </w:tr>
      <w:tr w:rsidR="00CA52A1" w14:paraId="3CE8C6DD" w14:textId="77777777" w:rsidTr="00CA52A1">
        <w:trPr>
          <w:trHeight w:val="285"/>
        </w:trPr>
        <w:tc>
          <w:tcPr>
            <w:tcW w:w="0" w:type="auto"/>
            <w:vMerge/>
            <w:tcBorders>
              <w:top w:val="single" w:sz="6" w:space="0" w:color="7F7F7F"/>
              <w:left w:val="single" w:sz="6" w:space="0" w:color="7F7F7F"/>
              <w:bottom w:val="single" w:sz="6" w:space="0" w:color="7F7F7F"/>
              <w:right w:val="single" w:sz="6" w:space="0" w:color="7F7F7F"/>
            </w:tcBorders>
            <w:vAlign w:val="center"/>
            <w:hideMark/>
          </w:tcPr>
          <w:p w14:paraId="226F2388" w14:textId="77777777" w:rsidR="00CA52A1" w:rsidRDefault="00CA52A1">
            <w:pPr>
              <w:spacing w:after="0"/>
              <w:rPr>
                <w:rFonts w:ascii="Segoe UI" w:eastAsia="Times New Roman" w:hAnsi="Segoe UI" w:cs="Segoe UI"/>
                <w:sz w:val="18"/>
                <w:szCs w:val="18"/>
              </w:rPr>
            </w:pPr>
          </w:p>
        </w:tc>
        <w:tc>
          <w:tcPr>
            <w:tcW w:w="2535" w:type="dxa"/>
            <w:tcBorders>
              <w:top w:val="nil"/>
              <w:left w:val="single" w:sz="6" w:space="0" w:color="7F7F7F"/>
              <w:bottom w:val="nil"/>
              <w:right w:val="nil"/>
            </w:tcBorders>
            <w:shd w:val="clear" w:color="auto" w:fill="F2F2F2"/>
            <w:vAlign w:val="center"/>
            <w:hideMark/>
          </w:tcPr>
          <w:p w14:paraId="1CB2DB65" w14:textId="77777777" w:rsidR="00CA52A1" w:rsidRDefault="00CA52A1">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rPr>
              <w:t>Llojj  </w:t>
            </w:r>
          </w:p>
          <w:p w14:paraId="14977402" w14:textId="77777777" w:rsidR="00CA52A1" w:rsidRDefault="00CA52A1">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rPr>
              <w:t> </w:t>
            </w:r>
          </w:p>
        </w:tc>
        <w:tc>
          <w:tcPr>
            <w:tcW w:w="1118" w:type="dxa"/>
            <w:tcBorders>
              <w:top w:val="nil"/>
              <w:left w:val="nil"/>
              <w:bottom w:val="nil"/>
              <w:right w:val="nil"/>
            </w:tcBorders>
            <w:shd w:val="clear" w:color="auto" w:fill="F2F2F2"/>
            <w:vAlign w:val="center"/>
            <w:hideMark/>
          </w:tcPr>
          <w:p w14:paraId="114A1AB1" w14:textId="77777777" w:rsidR="00CA52A1" w:rsidRDefault="00CA52A1">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rPr>
              <w:t>Semestri </w:t>
            </w:r>
          </w:p>
        </w:tc>
        <w:tc>
          <w:tcPr>
            <w:tcW w:w="1152" w:type="dxa"/>
            <w:tcBorders>
              <w:top w:val="nil"/>
              <w:left w:val="nil"/>
              <w:bottom w:val="nil"/>
              <w:right w:val="nil"/>
            </w:tcBorders>
            <w:shd w:val="clear" w:color="auto" w:fill="F2F2F2"/>
            <w:vAlign w:val="center"/>
            <w:hideMark/>
          </w:tcPr>
          <w:p w14:paraId="62EEA0FC" w14:textId="77777777" w:rsidR="00CA52A1" w:rsidRDefault="00CA52A1">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rPr>
              <w:t>ECTS </w:t>
            </w:r>
          </w:p>
        </w:tc>
        <w:tc>
          <w:tcPr>
            <w:tcW w:w="1573" w:type="dxa"/>
            <w:tcBorders>
              <w:top w:val="nil"/>
              <w:left w:val="nil"/>
              <w:bottom w:val="nil"/>
              <w:right w:val="single" w:sz="6" w:space="0" w:color="7F7F7F"/>
            </w:tcBorders>
            <w:shd w:val="clear" w:color="auto" w:fill="F2F2F2"/>
            <w:vAlign w:val="center"/>
            <w:hideMark/>
          </w:tcPr>
          <w:p w14:paraId="77A2D596" w14:textId="77777777" w:rsidR="00CA52A1" w:rsidRDefault="00CA52A1">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rPr>
              <w:t>Kodi </w:t>
            </w:r>
          </w:p>
        </w:tc>
      </w:tr>
      <w:tr w:rsidR="00CA52A1" w14:paraId="07E5188B" w14:textId="77777777" w:rsidTr="00CA52A1">
        <w:trPr>
          <w:trHeight w:val="270"/>
        </w:trPr>
        <w:tc>
          <w:tcPr>
            <w:tcW w:w="0" w:type="auto"/>
            <w:vMerge/>
            <w:tcBorders>
              <w:top w:val="single" w:sz="6" w:space="0" w:color="7F7F7F"/>
              <w:left w:val="single" w:sz="6" w:space="0" w:color="7F7F7F"/>
              <w:bottom w:val="single" w:sz="6" w:space="0" w:color="7F7F7F"/>
              <w:right w:val="single" w:sz="6" w:space="0" w:color="7F7F7F"/>
            </w:tcBorders>
            <w:vAlign w:val="center"/>
            <w:hideMark/>
          </w:tcPr>
          <w:p w14:paraId="4921F15D" w14:textId="77777777" w:rsidR="00CA52A1" w:rsidRDefault="00CA52A1">
            <w:pPr>
              <w:spacing w:after="0"/>
              <w:rPr>
                <w:rFonts w:ascii="Segoe UI" w:eastAsia="Times New Roman" w:hAnsi="Segoe UI" w:cs="Segoe UI"/>
                <w:sz w:val="18"/>
                <w:szCs w:val="18"/>
              </w:rPr>
            </w:pPr>
          </w:p>
        </w:tc>
        <w:tc>
          <w:tcPr>
            <w:tcW w:w="2535" w:type="dxa"/>
            <w:tcBorders>
              <w:top w:val="nil"/>
              <w:left w:val="single" w:sz="6" w:space="0" w:color="7F7F7F"/>
              <w:bottom w:val="single" w:sz="6" w:space="0" w:color="7F7F7F"/>
              <w:right w:val="nil"/>
            </w:tcBorders>
            <w:vAlign w:val="center"/>
            <w:hideMark/>
          </w:tcPr>
          <w:p w14:paraId="363557E6" w14:textId="77777777" w:rsidR="00CA52A1" w:rsidRDefault="00CA52A1">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color w:val="404040"/>
                <w:sz w:val="20"/>
                <w:szCs w:val="20"/>
              </w:rPr>
              <w:t>                       O </w:t>
            </w:r>
          </w:p>
          <w:p w14:paraId="3779E799" w14:textId="77777777" w:rsidR="00CA52A1" w:rsidRDefault="00CA52A1">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rPr>
              <w:t> </w:t>
            </w:r>
          </w:p>
        </w:tc>
        <w:tc>
          <w:tcPr>
            <w:tcW w:w="1118" w:type="dxa"/>
            <w:tcBorders>
              <w:top w:val="nil"/>
              <w:left w:val="nil"/>
              <w:bottom w:val="single" w:sz="6" w:space="0" w:color="7F7F7F"/>
              <w:right w:val="nil"/>
            </w:tcBorders>
            <w:vAlign w:val="center"/>
            <w:hideMark/>
          </w:tcPr>
          <w:p w14:paraId="5AB6B8A4" w14:textId="77777777" w:rsidR="00CA52A1" w:rsidRDefault="00CA52A1">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color w:val="404040"/>
                <w:sz w:val="20"/>
                <w:szCs w:val="20"/>
              </w:rPr>
              <w:t>           II </w:t>
            </w:r>
          </w:p>
        </w:tc>
        <w:tc>
          <w:tcPr>
            <w:tcW w:w="1152" w:type="dxa"/>
            <w:tcBorders>
              <w:top w:val="nil"/>
              <w:left w:val="nil"/>
              <w:bottom w:val="single" w:sz="6" w:space="0" w:color="7F7F7F"/>
              <w:right w:val="nil"/>
            </w:tcBorders>
            <w:vAlign w:val="center"/>
            <w:hideMark/>
          </w:tcPr>
          <w:p w14:paraId="2ED6402C" w14:textId="77777777" w:rsidR="00CA52A1" w:rsidRDefault="00CA52A1">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color w:val="404040"/>
                <w:sz w:val="20"/>
                <w:szCs w:val="20"/>
              </w:rPr>
              <w:t>           4</w:t>
            </w:r>
          </w:p>
        </w:tc>
        <w:tc>
          <w:tcPr>
            <w:tcW w:w="1573" w:type="dxa"/>
            <w:tcBorders>
              <w:top w:val="nil"/>
              <w:left w:val="nil"/>
              <w:bottom w:val="single" w:sz="6" w:space="0" w:color="7F7F7F"/>
              <w:right w:val="single" w:sz="6" w:space="0" w:color="7F7F7F"/>
            </w:tcBorders>
            <w:vAlign w:val="center"/>
            <w:hideMark/>
          </w:tcPr>
          <w:p w14:paraId="6C68B498" w14:textId="77777777" w:rsidR="00CA52A1" w:rsidRDefault="00CA52A1">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color w:val="404040"/>
                <w:sz w:val="20"/>
                <w:szCs w:val="20"/>
              </w:rPr>
              <w:t>       </w:t>
            </w:r>
            <w:r>
              <w:rPr>
                <w:rFonts w:ascii="Arial" w:hAnsi="Arial" w:cs="Arial"/>
                <w:sz w:val="20"/>
                <w:szCs w:val="20"/>
              </w:rPr>
              <w:t>130FIM155</w:t>
            </w:r>
          </w:p>
        </w:tc>
      </w:tr>
      <w:tr w:rsidR="00CA52A1" w14:paraId="10BEEBA8" w14:textId="77777777" w:rsidTr="00CA52A1">
        <w:trPr>
          <w:trHeight w:val="360"/>
        </w:trPr>
        <w:tc>
          <w:tcPr>
            <w:tcW w:w="2966" w:type="dxa"/>
            <w:tcBorders>
              <w:top w:val="single" w:sz="6" w:space="0" w:color="auto"/>
              <w:left w:val="single" w:sz="6" w:space="0" w:color="auto"/>
              <w:bottom w:val="single" w:sz="6" w:space="0" w:color="auto"/>
              <w:right w:val="single" w:sz="6" w:space="0" w:color="auto"/>
            </w:tcBorders>
            <w:shd w:val="clear" w:color="auto" w:fill="D9E2F3"/>
            <w:vAlign w:val="center"/>
            <w:hideMark/>
          </w:tcPr>
          <w:p w14:paraId="7AEB4091" w14:textId="77777777" w:rsidR="00CA52A1" w:rsidRDefault="00CA52A1">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b/>
                <w:bCs/>
                <w:color w:val="000000"/>
                <w:sz w:val="20"/>
                <w:szCs w:val="20"/>
              </w:rPr>
              <w:t>Ligjeruesi i lëndës</w:t>
            </w:r>
            <w:r>
              <w:rPr>
                <w:rFonts w:ascii="Times New Roman" w:eastAsia="Times New Roman" w:hAnsi="Times New Roman" w:cs="Times New Roman"/>
                <w:color w:val="000000"/>
                <w:sz w:val="20"/>
                <w:szCs w:val="20"/>
              </w:rPr>
              <w:t> </w:t>
            </w:r>
          </w:p>
        </w:tc>
        <w:tc>
          <w:tcPr>
            <w:tcW w:w="6378" w:type="dxa"/>
            <w:gridSpan w:val="4"/>
            <w:tcBorders>
              <w:top w:val="single" w:sz="6" w:space="0" w:color="7F7F7F"/>
              <w:left w:val="single" w:sz="6" w:space="0" w:color="auto"/>
              <w:bottom w:val="nil"/>
              <w:right w:val="single" w:sz="6" w:space="0" w:color="7F7F7F"/>
            </w:tcBorders>
            <w:vAlign w:val="center"/>
            <w:hideMark/>
          </w:tcPr>
          <w:p w14:paraId="2E190418" w14:textId="77777777" w:rsidR="00CA52A1" w:rsidRDefault="00CA52A1">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rPr>
              <w:t>Prof. Asst. Dr. Fisnik Shaqiri </w:t>
            </w:r>
          </w:p>
        </w:tc>
      </w:tr>
      <w:tr w:rsidR="00CA52A1" w14:paraId="6A29C22E" w14:textId="77777777" w:rsidTr="00CA52A1">
        <w:trPr>
          <w:trHeight w:val="240"/>
        </w:trPr>
        <w:tc>
          <w:tcPr>
            <w:tcW w:w="2966" w:type="dxa"/>
            <w:tcBorders>
              <w:top w:val="single" w:sz="6" w:space="0" w:color="auto"/>
              <w:left w:val="single" w:sz="6" w:space="0" w:color="auto"/>
              <w:bottom w:val="single" w:sz="6" w:space="0" w:color="auto"/>
              <w:right w:val="single" w:sz="6" w:space="0" w:color="auto"/>
            </w:tcBorders>
            <w:shd w:val="clear" w:color="auto" w:fill="D9E2F3"/>
            <w:vAlign w:val="center"/>
            <w:hideMark/>
          </w:tcPr>
          <w:p w14:paraId="076344D5" w14:textId="77777777" w:rsidR="00CA52A1" w:rsidRDefault="00CA52A1">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b/>
                <w:bCs/>
                <w:color w:val="000000"/>
                <w:sz w:val="20"/>
                <w:szCs w:val="20"/>
              </w:rPr>
              <w:t>Asistenti i lëndës</w:t>
            </w:r>
            <w:r>
              <w:rPr>
                <w:rFonts w:ascii="Times New Roman" w:eastAsia="Times New Roman" w:hAnsi="Times New Roman" w:cs="Times New Roman"/>
                <w:color w:val="000000"/>
                <w:sz w:val="20"/>
                <w:szCs w:val="20"/>
              </w:rPr>
              <w:t> </w:t>
            </w:r>
          </w:p>
        </w:tc>
        <w:tc>
          <w:tcPr>
            <w:tcW w:w="6378" w:type="dxa"/>
            <w:gridSpan w:val="4"/>
            <w:tcBorders>
              <w:top w:val="nil"/>
              <w:left w:val="single" w:sz="6" w:space="0" w:color="auto"/>
              <w:bottom w:val="nil"/>
              <w:right w:val="single" w:sz="6" w:space="0" w:color="7F7F7F"/>
            </w:tcBorders>
            <w:vAlign w:val="center"/>
            <w:hideMark/>
          </w:tcPr>
          <w:p w14:paraId="065446B8" w14:textId="77777777" w:rsidR="00CA52A1" w:rsidRDefault="00CA52A1">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rPr>
              <w:t> </w:t>
            </w:r>
          </w:p>
        </w:tc>
      </w:tr>
      <w:tr w:rsidR="00CA52A1" w14:paraId="5799C6B6" w14:textId="77777777" w:rsidTr="00CA52A1">
        <w:trPr>
          <w:trHeight w:val="285"/>
        </w:trPr>
        <w:tc>
          <w:tcPr>
            <w:tcW w:w="2966" w:type="dxa"/>
            <w:tcBorders>
              <w:top w:val="single" w:sz="6" w:space="0" w:color="auto"/>
              <w:left w:val="single" w:sz="6" w:space="0" w:color="auto"/>
              <w:bottom w:val="single" w:sz="6" w:space="0" w:color="auto"/>
              <w:right w:val="single" w:sz="6" w:space="0" w:color="auto"/>
            </w:tcBorders>
            <w:shd w:val="clear" w:color="auto" w:fill="D9E2F3"/>
            <w:vAlign w:val="center"/>
            <w:hideMark/>
          </w:tcPr>
          <w:p w14:paraId="5F0B4789" w14:textId="77777777" w:rsidR="00CA52A1" w:rsidRDefault="00CA52A1">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b/>
                <w:bCs/>
                <w:color w:val="000000"/>
                <w:sz w:val="20"/>
                <w:szCs w:val="20"/>
              </w:rPr>
              <w:t>Tutori i lëndës</w:t>
            </w:r>
            <w:r>
              <w:rPr>
                <w:rFonts w:ascii="Times New Roman" w:eastAsia="Times New Roman" w:hAnsi="Times New Roman" w:cs="Times New Roman"/>
                <w:color w:val="000000"/>
                <w:sz w:val="20"/>
                <w:szCs w:val="20"/>
              </w:rPr>
              <w:t> </w:t>
            </w:r>
          </w:p>
        </w:tc>
        <w:tc>
          <w:tcPr>
            <w:tcW w:w="6378" w:type="dxa"/>
            <w:gridSpan w:val="4"/>
            <w:tcBorders>
              <w:top w:val="nil"/>
              <w:left w:val="single" w:sz="6" w:space="0" w:color="auto"/>
              <w:bottom w:val="single" w:sz="6" w:space="0" w:color="7F7F7F"/>
              <w:right w:val="single" w:sz="6" w:space="0" w:color="7F7F7F"/>
            </w:tcBorders>
            <w:vAlign w:val="center"/>
            <w:hideMark/>
          </w:tcPr>
          <w:p w14:paraId="4EC43107" w14:textId="77777777" w:rsidR="00CA52A1" w:rsidRDefault="00CA52A1">
            <w:pPr>
              <w:rPr>
                <w:rFonts w:ascii="Segoe UI" w:eastAsia="Times New Roman" w:hAnsi="Segoe UI" w:cs="Segoe UI"/>
                <w:sz w:val="18"/>
                <w:szCs w:val="18"/>
              </w:rPr>
            </w:pPr>
          </w:p>
        </w:tc>
      </w:tr>
      <w:tr w:rsidR="00CA52A1" w14:paraId="678F5F6A" w14:textId="77777777" w:rsidTr="00CA52A1">
        <w:trPr>
          <w:trHeight w:val="300"/>
        </w:trPr>
        <w:tc>
          <w:tcPr>
            <w:tcW w:w="2966" w:type="dxa"/>
            <w:tcBorders>
              <w:top w:val="single" w:sz="6" w:space="0" w:color="auto"/>
              <w:left w:val="single" w:sz="6" w:space="0" w:color="7F7F7F"/>
              <w:bottom w:val="single" w:sz="6" w:space="0" w:color="7F7F7F"/>
              <w:right w:val="nil"/>
            </w:tcBorders>
            <w:shd w:val="clear" w:color="auto" w:fill="D9E2F3"/>
            <w:vAlign w:val="center"/>
            <w:hideMark/>
          </w:tcPr>
          <w:p w14:paraId="416926E8" w14:textId="77777777" w:rsidR="00CA52A1" w:rsidRDefault="00CA52A1">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b/>
                <w:bCs/>
                <w:color w:val="000000"/>
                <w:sz w:val="20"/>
                <w:szCs w:val="20"/>
              </w:rPr>
              <w:t>Qëllimet dhe objektivat</w:t>
            </w:r>
            <w:r>
              <w:rPr>
                <w:rFonts w:ascii="Times New Roman" w:eastAsia="Times New Roman" w:hAnsi="Times New Roman" w:cs="Times New Roman"/>
                <w:color w:val="000000"/>
                <w:sz w:val="20"/>
                <w:szCs w:val="20"/>
              </w:rPr>
              <w:t> </w:t>
            </w:r>
          </w:p>
        </w:tc>
        <w:tc>
          <w:tcPr>
            <w:tcW w:w="6378" w:type="dxa"/>
            <w:gridSpan w:val="4"/>
            <w:tcBorders>
              <w:top w:val="single" w:sz="6" w:space="0" w:color="7F7F7F"/>
              <w:left w:val="nil"/>
              <w:bottom w:val="single" w:sz="6" w:space="0" w:color="7F7F7F"/>
              <w:right w:val="single" w:sz="6" w:space="0" w:color="7F7F7F"/>
            </w:tcBorders>
            <w:hideMark/>
          </w:tcPr>
          <w:p w14:paraId="7A06769B" w14:textId="77777777" w:rsidR="00CA52A1" w:rsidRDefault="00CA52A1">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sz w:val="20"/>
                <w:szCs w:val="20"/>
              </w:rPr>
              <w:t>Lënda “Menaxhimi i Inustrisë Ushqimore” ofron konceptet kryesore dhe parimet e menaxhimit në industrinë e ushqimit. Kursi gjithashtu prezanton mjete analitike që janë të lidhura me monitorimin dhe kontrollin e biznesit të produkteve dhe ndërmarrjeve në industrinë e ushqimit. Kursi  mundëson që të përdorin imagjinatën e tyre për të krijuar një ide origjinale të menaxhimit të industrisë së ushqimit, të integrohen njohuritë e tyre për të përdorur ushqimin brenda sistemeve të ndryshme dhe për të vendosur në menaxhimin e planit, implementimit, kontrollit dhe raportimit. Mbulon një gamë të gjerë konceptesh, teorish dhe praktikash të rëndësishme për një kuptim bazë të fushës së menaxhimit me një theks të veçantë te lidershipi. Rrit të kuptuarit dhe aftësinë e studentëve për të aplikuar njohuritë bashkëkohore të menaxhimit dhe lidershipit si në situatat e punës ashtu edhe në ato personale. </w:t>
            </w:r>
          </w:p>
          <w:p w14:paraId="650120D3" w14:textId="77777777" w:rsidR="00CA52A1" w:rsidRDefault="00CA52A1">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rPr>
              <w:t>Objektivat e këtij studimi janë </w:t>
            </w:r>
          </w:p>
          <w:p w14:paraId="77553D0E" w14:textId="77777777" w:rsidR="00CA52A1" w:rsidRDefault="00CA52A1" w:rsidP="001669AD">
            <w:pPr>
              <w:numPr>
                <w:ilvl w:val="0"/>
                <w:numId w:val="1"/>
              </w:numPr>
              <w:spacing w:after="0" w:line="240" w:lineRule="auto"/>
              <w:ind w:left="360" w:firstLine="0"/>
              <w:textAlignment w:val="baseline"/>
              <w:rPr>
                <w:rFonts w:ascii="Times New Roman" w:eastAsia="Times New Roman" w:hAnsi="Times New Roman" w:cs="Times New Roman"/>
              </w:rPr>
            </w:pPr>
            <w:r>
              <w:rPr>
                <w:rFonts w:ascii="Times New Roman" w:eastAsia="Times New Roman" w:hAnsi="Times New Roman" w:cs="Times New Roman"/>
              </w:rPr>
              <w:t>Ndërtimi i kapaciteteve për të identifikuar, formuluar dhe shpjeguar probleme specifike për fushën e menaxhimit të Inustrisë Ushqimore  dhe për të propozuar dhe interpretuar zgjidhje koherente për ato specifika; </w:t>
            </w:r>
          </w:p>
          <w:p w14:paraId="1C142C56" w14:textId="77777777" w:rsidR="00CA52A1" w:rsidRDefault="00CA52A1" w:rsidP="001669AD">
            <w:pPr>
              <w:numPr>
                <w:ilvl w:val="0"/>
                <w:numId w:val="1"/>
              </w:numPr>
              <w:spacing w:after="0" w:line="240" w:lineRule="auto"/>
              <w:ind w:left="360" w:firstLine="0"/>
              <w:textAlignment w:val="baseline"/>
              <w:rPr>
                <w:rFonts w:ascii="Times New Roman" w:eastAsia="Times New Roman" w:hAnsi="Times New Roman" w:cs="Times New Roman"/>
              </w:rPr>
            </w:pPr>
            <w:r>
              <w:rPr>
                <w:rFonts w:ascii="Times New Roman" w:eastAsia="Times New Roman" w:hAnsi="Times New Roman" w:cs="Times New Roman"/>
              </w:rPr>
              <w:t>Kuptimi i planifikimit dhe zbatimit të proceseve të prodhimit në përputhje me kërkesat aktuale socio-ekonomike dhe mjedisore. </w:t>
            </w:r>
          </w:p>
          <w:p w14:paraId="4CF5A899" w14:textId="77777777" w:rsidR="00CA52A1" w:rsidRDefault="00CA52A1" w:rsidP="001669AD">
            <w:pPr>
              <w:numPr>
                <w:ilvl w:val="0"/>
                <w:numId w:val="1"/>
              </w:numPr>
              <w:spacing w:after="0" w:line="240" w:lineRule="auto"/>
              <w:ind w:left="360" w:firstLine="0"/>
              <w:textAlignment w:val="baseline"/>
              <w:rPr>
                <w:rFonts w:ascii="Times New Roman" w:eastAsia="Times New Roman" w:hAnsi="Times New Roman" w:cs="Times New Roman"/>
              </w:rPr>
            </w:pPr>
            <w:r>
              <w:rPr>
                <w:rFonts w:ascii="Times New Roman" w:eastAsia="Times New Roman" w:hAnsi="Times New Roman" w:cs="Times New Roman"/>
              </w:rPr>
              <w:t>Të demonstrojnë njohuri për praktikat moderne të menxhimit të Inustrisë Ushimore. </w:t>
            </w:r>
          </w:p>
          <w:p w14:paraId="0751C8C2" w14:textId="77777777" w:rsidR="00CA52A1" w:rsidRDefault="00CA52A1">
            <w:pPr>
              <w:spacing w:after="0" w:line="240" w:lineRule="auto"/>
              <w:jc w:val="both"/>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rPr>
              <w:t> </w:t>
            </w:r>
          </w:p>
        </w:tc>
      </w:tr>
      <w:tr w:rsidR="00CA52A1" w14:paraId="16497D12" w14:textId="77777777" w:rsidTr="00CA52A1">
        <w:trPr>
          <w:trHeight w:val="1785"/>
        </w:trPr>
        <w:tc>
          <w:tcPr>
            <w:tcW w:w="2966" w:type="dxa"/>
            <w:tcBorders>
              <w:top w:val="single" w:sz="6" w:space="0" w:color="7F7F7F"/>
              <w:left w:val="single" w:sz="6" w:space="0" w:color="7F7F7F"/>
              <w:bottom w:val="single" w:sz="6" w:space="0" w:color="7F7F7F"/>
              <w:right w:val="nil"/>
            </w:tcBorders>
            <w:shd w:val="clear" w:color="auto" w:fill="D9E2F3"/>
            <w:vAlign w:val="center"/>
            <w:hideMark/>
          </w:tcPr>
          <w:p w14:paraId="024C5468" w14:textId="77777777" w:rsidR="00CA52A1" w:rsidRDefault="00CA52A1">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b/>
                <w:bCs/>
                <w:color w:val="000000"/>
                <w:sz w:val="20"/>
                <w:szCs w:val="20"/>
              </w:rPr>
              <w:t>Rezultatet e studimit </w:t>
            </w:r>
            <w:r>
              <w:rPr>
                <w:rFonts w:ascii="Times New Roman" w:eastAsia="Times New Roman" w:hAnsi="Times New Roman" w:cs="Times New Roman"/>
                <w:color w:val="000000"/>
                <w:sz w:val="20"/>
                <w:szCs w:val="20"/>
              </w:rPr>
              <w:t> </w:t>
            </w:r>
          </w:p>
        </w:tc>
        <w:tc>
          <w:tcPr>
            <w:tcW w:w="6378" w:type="dxa"/>
            <w:gridSpan w:val="4"/>
            <w:tcBorders>
              <w:top w:val="single" w:sz="6" w:space="0" w:color="7F7F7F"/>
              <w:left w:val="nil"/>
              <w:bottom w:val="single" w:sz="6" w:space="0" w:color="7F7F7F"/>
              <w:right w:val="single" w:sz="6" w:space="0" w:color="7F7F7F"/>
            </w:tcBorders>
            <w:hideMark/>
          </w:tcPr>
          <w:p w14:paraId="454EC6AA" w14:textId="77777777" w:rsidR="00CA52A1" w:rsidRDefault="00CA52A1">
            <w:pPr>
              <w:spacing w:after="0" w:line="240" w:lineRule="auto"/>
              <w:ind w:left="720"/>
              <w:textAlignment w:val="baseline"/>
              <w:rPr>
                <w:rFonts w:ascii="Segoe UI" w:eastAsia="Times New Roman" w:hAnsi="Segoe UI" w:cs="Segoe UI"/>
                <w:sz w:val="18"/>
                <w:szCs w:val="18"/>
              </w:rPr>
            </w:pPr>
            <w:r>
              <w:rPr>
                <w:rFonts w:ascii="Times New Roman" w:eastAsia="Times New Roman" w:hAnsi="Times New Roman" w:cs="Times New Roman"/>
              </w:rPr>
              <w:t>Pas përfundimit të kursit, studentët do të arrijnë këto kompetenca: </w:t>
            </w:r>
          </w:p>
          <w:p w14:paraId="7A283A07" w14:textId="77777777" w:rsidR="00CA52A1" w:rsidRDefault="00CA52A1" w:rsidP="001669AD">
            <w:pPr>
              <w:numPr>
                <w:ilvl w:val="0"/>
                <w:numId w:val="2"/>
              </w:numPr>
              <w:spacing w:after="0" w:line="240" w:lineRule="auto"/>
              <w:ind w:left="360" w:firstLine="0"/>
              <w:textAlignment w:val="baseline"/>
              <w:rPr>
                <w:rFonts w:ascii="Times New Roman" w:eastAsia="Times New Roman" w:hAnsi="Times New Roman" w:cs="Times New Roman"/>
              </w:rPr>
            </w:pPr>
            <w:r>
              <w:rPr>
                <w:rFonts w:ascii="Times New Roman" w:eastAsia="Times New Roman" w:hAnsi="Times New Roman" w:cs="Times New Roman"/>
              </w:rPr>
              <w:t>Të demonstrojnë aftësi të gjera në komunikim me gojë dhe me shkrim lihur me lëndën. </w:t>
            </w:r>
          </w:p>
          <w:p w14:paraId="74472051" w14:textId="77777777" w:rsidR="00CA52A1" w:rsidRDefault="00CA52A1" w:rsidP="001669AD">
            <w:pPr>
              <w:numPr>
                <w:ilvl w:val="0"/>
                <w:numId w:val="3"/>
              </w:numPr>
              <w:spacing w:after="0" w:line="240" w:lineRule="auto"/>
              <w:ind w:left="360" w:firstLine="0"/>
              <w:textAlignment w:val="baseline"/>
              <w:rPr>
                <w:rFonts w:ascii="Times New Roman" w:eastAsia="Times New Roman" w:hAnsi="Times New Roman" w:cs="Times New Roman"/>
              </w:rPr>
            </w:pPr>
            <w:r>
              <w:rPr>
                <w:rFonts w:ascii="Times New Roman" w:eastAsia="Times New Roman" w:hAnsi="Times New Roman" w:cs="Times New Roman"/>
              </w:rPr>
              <w:t>Të kenë njohuri konceptuale të menaxhimit me Industrinë Ushqimore, në një ambient sfidues e konkurrues; </w:t>
            </w:r>
          </w:p>
          <w:p w14:paraId="67AFB457" w14:textId="77777777" w:rsidR="00CA52A1" w:rsidRDefault="00CA52A1" w:rsidP="001669AD">
            <w:pPr>
              <w:numPr>
                <w:ilvl w:val="0"/>
                <w:numId w:val="4"/>
              </w:numPr>
              <w:spacing w:after="0" w:line="240" w:lineRule="auto"/>
              <w:ind w:left="360" w:firstLine="0"/>
              <w:textAlignment w:val="baseline"/>
              <w:rPr>
                <w:rFonts w:ascii="Times New Roman" w:eastAsia="Times New Roman" w:hAnsi="Times New Roman" w:cs="Times New Roman"/>
              </w:rPr>
            </w:pPr>
            <w:r>
              <w:rPr>
                <w:rFonts w:ascii="Times New Roman" w:eastAsia="Times New Roman" w:hAnsi="Times New Roman" w:cs="Times New Roman"/>
              </w:rPr>
              <w:t>Të demonstrojnë njohuri të mjaftueshme mbi efektet në Industrinë Ushqimore të Bujqësisë Intenzive; </w:t>
            </w:r>
          </w:p>
          <w:p w14:paraId="5AA6639E" w14:textId="77777777" w:rsidR="00CA52A1" w:rsidRDefault="00CA52A1" w:rsidP="001669AD">
            <w:pPr>
              <w:numPr>
                <w:ilvl w:val="0"/>
                <w:numId w:val="5"/>
              </w:numPr>
              <w:spacing w:after="0" w:line="240" w:lineRule="auto"/>
              <w:ind w:left="360" w:firstLine="0"/>
              <w:textAlignment w:val="baseline"/>
              <w:rPr>
                <w:rFonts w:ascii="Times New Roman" w:eastAsia="Times New Roman" w:hAnsi="Times New Roman" w:cs="Times New Roman"/>
              </w:rPr>
            </w:pPr>
            <w:r>
              <w:rPr>
                <w:rFonts w:ascii="Times New Roman" w:eastAsia="Times New Roman" w:hAnsi="Times New Roman" w:cs="Times New Roman"/>
              </w:rPr>
              <w:t>T[ emonstrojë gatishmëri e njohurive për përgjegjësitë dhe detyrat e menaxherit të prodhimit të ushqimit dhe stafit të shërbimit të ushqimit, si dhe njohja me menaxhimin e burimeve njerëzore, udhëheqjen, mbikëqyrjen e përditshme dhe organizimin e punës së departamentit të shërbimit të ushqimit. </w:t>
            </w:r>
          </w:p>
          <w:p w14:paraId="3C488176" w14:textId="77777777" w:rsidR="00CA52A1" w:rsidRDefault="00CA52A1" w:rsidP="001669AD">
            <w:pPr>
              <w:numPr>
                <w:ilvl w:val="0"/>
                <w:numId w:val="6"/>
              </w:numPr>
              <w:spacing w:after="0" w:line="240" w:lineRule="auto"/>
              <w:ind w:left="360" w:firstLine="0"/>
              <w:textAlignment w:val="baseline"/>
              <w:rPr>
                <w:rFonts w:ascii="Times New Roman" w:eastAsia="Times New Roman" w:hAnsi="Times New Roman" w:cs="Times New Roman"/>
              </w:rPr>
            </w:pPr>
            <w:r>
              <w:rPr>
                <w:rFonts w:ascii="Times New Roman" w:eastAsia="Times New Roman" w:hAnsi="Times New Roman" w:cs="Times New Roman"/>
              </w:rPr>
              <w:t>Diagnostikojnë problemet e Industrisë dhe masat për lehtësimin e tyre me qëllim përbushjen e kërkesave të konsumatorit; </w:t>
            </w:r>
          </w:p>
          <w:p w14:paraId="449B5645" w14:textId="77777777" w:rsidR="00CA52A1" w:rsidRDefault="00CA52A1" w:rsidP="001669AD">
            <w:pPr>
              <w:numPr>
                <w:ilvl w:val="0"/>
                <w:numId w:val="7"/>
              </w:numPr>
              <w:spacing w:after="0" w:line="240" w:lineRule="auto"/>
              <w:ind w:left="360" w:firstLine="0"/>
              <w:textAlignment w:val="baseline"/>
              <w:rPr>
                <w:rFonts w:ascii="Times New Roman" w:eastAsia="Times New Roman" w:hAnsi="Times New Roman" w:cs="Times New Roman"/>
              </w:rPr>
            </w:pPr>
            <w:r>
              <w:rPr>
                <w:rFonts w:ascii="Times New Roman" w:eastAsia="Times New Roman" w:hAnsi="Times New Roman" w:cs="Times New Roman"/>
              </w:rPr>
              <w:t>Vlerësojnë një plan buxheti/menaxhimi financiar dhe interpretojnë të dhënat financiare  </w:t>
            </w:r>
          </w:p>
        </w:tc>
      </w:tr>
      <w:tr w:rsidR="00CA52A1" w14:paraId="5FF53A18" w14:textId="77777777" w:rsidTr="00CA52A1">
        <w:trPr>
          <w:trHeight w:val="1785"/>
        </w:trPr>
        <w:tc>
          <w:tcPr>
            <w:tcW w:w="2966" w:type="dxa"/>
            <w:tcBorders>
              <w:top w:val="single" w:sz="6" w:space="0" w:color="7F7F7F"/>
              <w:left w:val="single" w:sz="6" w:space="0" w:color="7F7F7F"/>
              <w:bottom w:val="single" w:sz="6" w:space="0" w:color="7F7F7F"/>
              <w:right w:val="nil"/>
            </w:tcBorders>
            <w:shd w:val="clear" w:color="auto" w:fill="D9E2F3"/>
            <w:vAlign w:val="center"/>
            <w:hideMark/>
          </w:tcPr>
          <w:p w14:paraId="1C4FD383" w14:textId="77777777" w:rsidR="00CA52A1" w:rsidRDefault="00CA52A1">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b/>
                <w:bCs/>
              </w:rPr>
              <w:lastRenderedPageBreak/>
              <w:t>Përafrimi i rezultateve të të nxënit të kursit me rezultatet e të nxënit të programeve.</w:t>
            </w:r>
            <w:r>
              <w:rPr>
                <w:rFonts w:ascii="Times New Roman" w:eastAsia="Times New Roman" w:hAnsi="Times New Roman" w:cs="Times New Roman"/>
              </w:rPr>
              <w:t> </w:t>
            </w:r>
          </w:p>
        </w:tc>
        <w:tc>
          <w:tcPr>
            <w:tcW w:w="6378" w:type="dxa"/>
            <w:gridSpan w:val="4"/>
            <w:tcBorders>
              <w:top w:val="single" w:sz="6" w:space="0" w:color="7F7F7F"/>
              <w:left w:val="nil"/>
              <w:bottom w:val="single" w:sz="6" w:space="0" w:color="7F7F7F"/>
              <w:right w:val="single" w:sz="6" w:space="0" w:color="7F7F7F"/>
            </w:tcBorders>
            <w:hideMark/>
          </w:tcPr>
          <w:p w14:paraId="3D72165E" w14:textId="77777777" w:rsidR="00CA52A1" w:rsidRDefault="00CA52A1" w:rsidP="001669AD">
            <w:pPr>
              <w:numPr>
                <w:ilvl w:val="0"/>
                <w:numId w:val="8"/>
              </w:numPr>
              <w:spacing w:after="0" w:line="240" w:lineRule="auto"/>
              <w:ind w:left="360" w:firstLine="0"/>
              <w:textAlignment w:val="baseline"/>
              <w:rPr>
                <w:rFonts w:ascii="Times New Roman" w:eastAsia="Times New Roman" w:hAnsi="Times New Roman" w:cs="Times New Roman"/>
              </w:rPr>
            </w:pPr>
            <w:r>
              <w:rPr>
                <w:rFonts w:ascii="Times New Roman" w:eastAsia="Times New Roman" w:hAnsi="Times New Roman" w:cs="Times New Roman"/>
              </w:rPr>
              <w:t>Zbatimi i njohurive teorike - Bazohet në studimin e literaturës, punimeve shkencore, prezantimeve seminarike dhe diskutimeve në grup për Menaxhimin e Inustrisë Ushqimore. Asimilimi i njohurive bazë të nevojshme për të kuptuar dhe vepruar me nocionet specifike të fushës së menaxhimit. </w:t>
            </w:r>
          </w:p>
          <w:p w14:paraId="5CD0DC74" w14:textId="77777777" w:rsidR="00CA52A1" w:rsidRDefault="00CA52A1" w:rsidP="001669AD">
            <w:pPr>
              <w:numPr>
                <w:ilvl w:val="0"/>
                <w:numId w:val="9"/>
              </w:numPr>
              <w:spacing w:after="0" w:line="240" w:lineRule="auto"/>
              <w:ind w:left="360" w:firstLine="0"/>
              <w:jc w:val="both"/>
              <w:textAlignment w:val="baseline"/>
              <w:rPr>
                <w:rFonts w:ascii="Times New Roman" w:eastAsia="Times New Roman" w:hAnsi="Times New Roman" w:cs="Times New Roman"/>
              </w:rPr>
            </w:pPr>
            <w:r>
              <w:rPr>
                <w:rFonts w:ascii="Times New Roman" w:eastAsia="Times New Roman" w:hAnsi="Times New Roman" w:cs="Times New Roman"/>
              </w:rPr>
              <w:t>Studentë diskutojnë çështje që lidhen me qëndrueshmërinë, logjistikën humanitare, praktikat etike të biznesit dhe analitikën e zinxhirit të furnizimit në kontekstin e zinxhirëve të furnizimit në mbarë botën. Studentët zbulojnë se si proceset e biznesit, matjet e performancës dhe mjetet moderne të TI-së të zinxhirit të furnizimit ndihmojnë në menaxhimin dhe rritjen e efektivitetit dhe fikasitetit të zinxhirëve të furnizimit. </w:t>
            </w:r>
          </w:p>
          <w:p w14:paraId="53A632D8" w14:textId="77777777" w:rsidR="00CA52A1" w:rsidRDefault="00CA52A1" w:rsidP="001669AD">
            <w:pPr>
              <w:numPr>
                <w:ilvl w:val="0"/>
                <w:numId w:val="10"/>
              </w:numPr>
              <w:spacing w:after="0" w:line="240" w:lineRule="auto"/>
              <w:ind w:left="360" w:firstLine="0"/>
              <w:textAlignment w:val="baseline"/>
              <w:rPr>
                <w:rFonts w:ascii="Times New Roman" w:eastAsia="Times New Roman" w:hAnsi="Times New Roman" w:cs="Times New Roman"/>
              </w:rPr>
            </w:pPr>
            <w:r>
              <w:rPr>
                <w:rFonts w:ascii="Times New Roman" w:eastAsia="Times New Roman" w:hAnsi="Times New Roman" w:cs="Times New Roman"/>
              </w:rPr>
              <w:t>Vlerësimi dhe analiza kritike: Përfshin aftësinë për të kuptuar dhe përshkruar skenarët e nryshëm dhe efikasitetitn e tyre me qëllim të arritjes së planifikimeve strategjike; </w:t>
            </w:r>
          </w:p>
          <w:p w14:paraId="29F9671B" w14:textId="77777777" w:rsidR="00CA52A1" w:rsidRDefault="00CA52A1" w:rsidP="001669AD">
            <w:pPr>
              <w:numPr>
                <w:ilvl w:val="0"/>
                <w:numId w:val="11"/>
              </w:numPr>
              <w:spacing w:after="0" w:line="240" w:lineRule="auto"/>
              <w:ind w:left="360" w:firstLine="0"/>
              <w:textAlignment w:val="baseline"/>
              <w:rPr>
                <w:rFonts w:ascii="Times New Roman" w:eastAsia="Times New Roman" w:hAnsi="Times New Roman" w:cs="Times New Roman"/>
              </w:rPr>
            </w:pPr>
            <w:r>
              <w:rPr>
                <w:rFonts w:ascii="Times New Roman" w:eastAsia="Times New Roman" w:hAnsi="Times New Roman" w:cs="Times New Roman"/>
              </w:rPr>
              <w:t>Zhvillimi i aftësive praktike: përfshin vizita studimore për të rritur kompetencat në vlerësim, diagnostikim dhe planifikim.  </w:t>
            </w:r>
          </w:p>
        </w:tc>
      </w:tr>
      <w:tr w:rsidR="00CA52A1" w14:paraId="57B0B627" w14:textId="77777777" w:rsidTr="00CA52A1">
        <w:trPr>
          <w:trHeight w:val="285"/>
        </w:trPr>
        <w:tc>
          <w:tcPr>
            <w:tcW w:w="2966" w:type="dxa"/>
            <w:vMerge w:val="restart"/>
            <w:tcBorders>
              <w:top w:val="single" w:sz="6" w:space="0" w:color="7F7F7F"/>
              <w:left w:val="single" w:sz="6" w:space="0" w:color="7F7F7F"/>
              <w:bottom w:val="dotted" w:sz="6" w:space="0" w:color="7F7F7F"/>
              <w:right w:val="nil"/>
            </w:tcBorders>
            <w:shd w:val="clear" w:color="auto" w:fill="D9E2F3"/>
            <w:vAlign w:val="center"/>
            <w:hideMark/>
          </w:tcPr>
          <w:p w14:paraId="5DC288E7" w14:textId="77777777" w:rsidR="00CA52A1" w:rsidRDefault="00CA52A1">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b/>
                <w:bCs/>
                <w:lang w:val="en-GB"/>
              </w:rPr>
              <w:t>Përmbajtja e lëndës</w:t>
            </w:r>
            <w:r>
              <w:rPr>
                <w:rFonts w:ascii="Times New Roman" w:eastAsia="Times New Roman" w:hAnsi="Times New Roman" w:cs="Times New Roman"/>
              </w:rPr>
              <w:t> </w:t>
            </w:r>
          </w:p>
        </w:tc>
        <w:tc>
          <w:tcPr>
            <w:tcW w:w="4805" w:type="dxa"/>
            <w:gridSpan w:val="3"/>
            <w:tcBorders>
              <w:top w:val="single" w:sz="6" w:space="0" w:color="7F7F7F"/>
              <w:left w:val="nil"/>
              <w:bottom w:val="single" w:sz="6" w:space="0" w:color="auto"/>
              <w:right w:val="nil"/>
            </w:tcBorders>
            <w:shd w:val="clear" w:color="auto" w:fill="F2F2F2"/>
            <w:hideMark/>
          </w:tcPr>
          <w:p w14:paraId="0B0AEC20" w14:textId="77777777" w:rsidR="00CA52A1" w:rsidRDefault="00CA52A1">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b/>
                <w:bCs/>
                <w:i/>
                <w:iCs/>
                <w:color w:val="000000"/>
                <w:sz w:val="20"/>
                <w:szCs w:val="20"/>
              </w:rPr>
              <w:t>Permbajtja e Leksioneve/Plani javor</w:t>
            </w:r>
            <w:r>
              <w:rPr>
                <w:rFonts w:ascii="Times New Roman" w:eastAsia="Times New Roman" w:hAnsi="Times New Roman" w:cs="Times New Roman"/>
                <w:color w:val="000000"/>
                <w:sz w:val="20"/>
                <w:szCs w:val="20"/>
              </w:rPr>
              <w:t> </w:t>
            </w:r>
          </w:p>
        </w:tc>
        <w:tc>
          <w:tcPr>
            <w:tcW w:w="1573" w:type="dxa"/>
            <w:tcBorders>
              <w:top w:val="single" w:sz="6" w:space="0" w:color="7F7F7F"/>
              <w:left w:val="nil"/>
              <w:bottom w:val="single" w:sz="6" w:space="0" w:color="auto"/>
              <w:right w:val="single" w:sz="6" w:space="0" w:color="7F7F7F"/>
            </w:tcBorders>
            <w:shd w:val="clear" w:color="auto" w:fill="F2F2F2"/>
            <w:hideMark/>
          </w:tcPr>
          <w:p w14:paraId="3D1131CF" w14:textId="77777777" w:rsidR="00CA52A1" w:rsidRDefault="00CA52A1">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b/>
                <w:bCs/>
                <w:i/>
                <w:iCs/>
                <w:color w:val="000000"/>
                <w:sz w:val="20"/>
                <w:szCs w:val="20"/>
              </w:rPr>
              <w:t>Java</w:t>
            </w:r>
            <w:r>
              <w:rPr>
                <w:rFonts w:ascii="Times New Roman" w:eastAsia="Times New Roman" w:hAnsi="Times New Roman" w:cs="Times New Roman"/>
                <w:color w:val="000000"/>
                <w:sz w:val="20"/>
                <w:szCs w:val="20"/>
              </w:rPr>
              <w:t> </w:t>
            </w:r>
          </w:p>
        </w:tc>
      </w:tr>
      <w:tr w:rsidR="00CA52A1" w14:paraId="41DA5BAD" w14:textId="77777777" w:rsidTr="00CA52A1">
        <w:trPr>
          <w:trHeight w:val="435"/>
        </w:trPr>
        <w:tc>
          <w:tcPr>
            <w:tcW w:w="0" w:type="auto"/>
            <w:vMerge/>
            <w:tcBorders>
              <w:top w:val="single" w:sz="6" w:space="0" w:color="7F7F7F"/>
              <w:left w:val="single" w:sz="6" w:space="0" w:color="7F7F7F"/>
              <w:bottom w:val="dotted" w:sz="6" w:space="0" w:color="7F7F7F"/>
              <w:right w:val="nil"/>
            </w:tcBorders>
            <w:vAlign w:val="center"/>
            <w:hideMark/>
          </w:tcPr>
          <w:p w14:paraId="3148DBD9" w14:textId="77777777" w:rsidR="00CA52A1" w:rsidRDefault="00CA52A1">
            <w:pPr>
              <w:spacing w:after="0"/>
              <w:rPr>
                <w:rFonts w:ascii="Segoe UI" w:eastAsia="Times New Roman" w:hAnsi="Segoe UI" w:cs="Segoe UI"/>
                <w:sz w:val="18"/>
                <w:szCs w:val="18"/>
              </w:rPr>
            </w:pPr>
          </w:p>
        </w:tc>
        <w:tc>
          <w:tcPr>
            <w:tcW w:w="4805" w:type="dxa"/>
            <w:gridSpan w:val="3"/>
            <w:tcBorders>
              <w:top w:val="single" w:sz="6" w:space="0" w:color="auto"/>
              <w:left w:val="single" w:sz="6" w:space="0" w:color="auto"/>
              <w:bottom w:val="single" w:sz="6" w:space="0" w:color="auto"/>
              <w:right w:val="single" w:sz="6" w:space="0" w:color="auto"/>
            </w:tcBorders>
            <w:hideMark/>
          </w:tcPr>
          <w:p w14:paraId="5326D9F7" w14:textId="77777777" w:rsidR="00CA52A1" w:rsidRDefault="00CA52A1" w:rsidP="001669AD">
            <w:pPr>
              <w:numPr>
                <w:ilvl w:val="0"/>
                <w:numId w:val="12"/>
              </w:numPr>
              <w:spacing w:after="0" w:line="240" w:lineRule="auto"/>
              <w:ind w:left="360"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Prezentimi i lëndës, fokusi dhe literatura </w:t>
            </w:r>
          </w:p>
        </w:tc>
        <w:tc>
          <w:tcPr>
            <w:tcW w:w="1573" w:type="dxa"/>
            <w:tcBorders>
              <w:top w:val="single" w:sz="6" w:space="0" w:color="auto"/>
              <w:left w:val="single" w:sz="6" w:space="0" w:color="auto"/>
              <w:bottom w:val="single" w:sz="6" w:space="0" w:color="auto"/>
              <w:right w:val="single" w:sz="6" w:space="0" w:color="auto"/>
            </w:tcBorders>
            <w:hideMark/>
          </w:tcPr>
          <w:p w14:paraId="1484B32C" w14:textId="77777777" w:rsidR="00CA52A1" w:rsidRDefault="00CA52A1">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rPr>
              <w:t>1 </w:t>
            </w:r>
          </w:p>
        </w:tc>
      </w:tr>
      <w:tr w:rsidR="00CA52A1" w14:paraId="03C6956D" w14:textId="77777777" w:rsidTr="00CA52A1">
        <w:trPr>
          <w:trHeight w:val="360"/>
        </w:trPr>
        <w:tc>
          <w:tcPr>
            <w:tcW w:w="0" w:type="auto"/>
            <w:vMerge/>
            <w:tcBorders>
              <w:top w:val="single" w:sz="6" w:space="0" w:color="7F7F7F"/>
              <w:left w:val="single" w:sz="6" w:space="0" w:color="7F7F7F"/>
              <w:bottom w:val="dotted" w:sz="6" w:space="0" w:color="7F7F7F"/>
              <w:right w:val="nil"/>
            </w:tcBorders>
            <w:vAlign w:val="center"/>
            <w:hideMark/>
          </w:tcPr>
          <w:p w14:paraId="70FBDAA1" w14:textId="77777777" w:rsidR="00CA52A1" w:rsidRDefault="00CA52A1">
            <w:pPr>
              <w:spacing w:after="0"/>
              <w:rPr>
                <w:rFonts w:ascii="Segoe UI" w:eastAsia="Times New Roman" w:hAnsi="Segoe UI" w:cs="Segoe UI"/>
                <w:sz w:val="18"/>
                <w:szCs w:val="18"/>
              </w:rPr>
            </w:pPr>
          </w:p>
        </w:tc>
        <w:tc>
          <w:tcPr>
            <w:tcW w:w="4805" w:type="dxa"/>
            <w:gridSpan w:val="3"/>
            <w:tcBorders>
              <w:top w:val="single" w:sz="6" w:space="0" w:color="auto"/>
              <w:left w:val="single" w:sz="6" w:space="0" w:color="auto"/>
              <w:bottom w:val="single" w:sz="6" w:space="0" w:color="auto"/>
              <w:right w:val="single" w:sz="6" w:space="0" w:color="auto"/>
            </w:tcBorders>
            <w:hideMark/>
          </w:tcPr>
          <w:p w14:paraId="08FF4A14" w14:textId="77777777" w:rsidR="00CA52A1" w:rsidRDefault="00CA52A1" w:rsidP="001669AD">
            <w:pPr>
              <w:numPr>
                <w:ilvl w:val="0"/>
                <w:numId w:val="13"/>
              </w:numPr>
              <w:spacing w:after="0" w:line="240" w:lineRule="auto"/>
              <w:ind w:left="360"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Struktura e Industrisë Ushqimore </w:t>
            </w:r>
          </w:p>
        </w:tc>
        <w:tc>
          <w:tcPr>
            <w:tcW w:w="1573" w:type="dxa"/>
            <w:tcBorders>
              <w:top w:val="single" w:sz="6" w:space="0" w:color="auto"/>
              <w:left w:val="single" w:sz="6" w:space="0" w:color="auto"/>
              <w:bottom w:val="single" w:sz="6" w:space="0" w:color="auto"/>
              <w:right w:val="single" w:sz="6" w:space="0" w:color="auto"/>
            </w:tcBorders>
            <w:hideMark/>
          </w:tcPr>
          <w:p w14:paraId="44C990D8" w14:textId="77777777" w:rsidR="00CA52A1" w:rsidRDefault="00CA52A1">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rPr>
              <w:t>2 </w:t>
            </w:r>
          </w:p>
        </w:tc>
      </w:tr>
      <w:tr w:rsidR="00CA52A1" w14:paraId="379499D8" w14:textId="77777777" w:rsidTr="00CA52A1">
        <w:trPr>
          <w:trHeight w:val="360"/>
        </w:trPr>
        <w:tc>
          <w:tcPr>
            <w:tcW w:w="0" w:type="auto"/>
            <w:vMerge/>
            <w:tcBorders>
              <w:top w:val="single" w:sz="6" w:space="0" w:color="7F7F7F"/>
              <w:left w:val="single" w:sz="6" w:space="0" w:color="7F7F7F"/>
              <w:bottom w:val="dotted" w:sz="6" w:space="0" w:color="7F7F7F"/>
              <w:right w:val="nil"/>
            </w:tcBorders>
            <w:vAlign w:val="center"/>
            <w:hideMark/>
          </w:tcPr>
          <w:p w14:paraId="745F19BC" w14:textId="77777777" w:rsidR="00CA52A1" w:rsidRDefault="00CA52A1">
            <w:pPr>
              <w:spacing w:after="0"/>
              <w:rPr>
                <w:rFonts w:ascii="Segoe UI" w:eastAsia="Times New Roman" w:hAnsi="Segoe UI" w:cs="Segoe UI"/>
                <w:sz w:val="18"/>
                <w:szCs w:val="18"/>
              </w:rPr>
            </w:pPr>
          </w:p>
        </w:tc>
        <w:tc>
          <w:tcPr>
            <w:tcW w:w="4805" w:type="dxa"/>
            <w:gridSpan w:val="3"/>
            <w:tcBorders>
              <w:top w:val="single" w:sz="6" w:space="0" w:color="auto"/>
              <w:left w:val="single" w:sz="6" w:space="0" w:color="auto"/>
              <w:bottom w:val="single" w:sz="6" w:space="0" w:color="auto"/>
              <w:right w:val="single" w:sz="6" w:space="0" w:color="auto"/>
            </w:tcBorders>
            <w:hideMark/>
          </w:tcPr>
          <w:p w14:paraId="7F6B48C4" w14:textId="77777777" w:rsidR="00CA52A1" w:rsidRDefault="00CA52A1" w:rsidP="001669AD">
            <w:pPr>
              <w:numPr>
                <w:ilvl w:val="0"/>
                <w:numId w:val="14"/>
              </w:numPr>
              <w:spacing w:after="0" w:line="240" w:lineRule="auto"/>
              <w:ind w:left="360"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Akterët e Industrisë Ushqimore </w:t>
            </w:r>
          </w:p>
        </w:tc>
        <w:tc>
          <w:tcPr>
            <w:tcW w:w="1573" w:type="dxa"/>
            <w:tcBorders>
              <w:top w:val="single" w:sz="6" w:space="0" w:color="auto"/>
              <w:left w:val="single" w:sz="6" w:space="0" w:color="auto"/>
              <w:bottom w:val="single" w:sz="6" w:space="0" w:color="auto"/>
              <w:right w:val="single" w:sz="6" w:space="0" w:color="auto"/>
            </w:tcBorders>
            <w:hideMark/>
          </w:tcPr>
          <w:p w14:paraId="51D370A0" w14:textId="77777777" w:rsidR="00CA52A1" w:rsidRDefault="00CA52A1">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rPr>
              <w:t>3 </w:t>
            </w:r>
          </w:p>
        </w:tc>
      </w:tr>
      <w:tr w:rsidR="00CA52A1" w14:paraId="73821418" w14:textId="77777777" w:rsidTr="00CA52A1">
        <w:trPr>
          <w:trHeight w:val="555"/>
        </w:trPr>
        <w:tc>
          <w:tcPr>
            <w:tcW w:w="0" w:type="auto"/>
            <w:vMerge/>
            <w:tcBorders>
              <w:top w:val="single" w:sz="6" w:space="0" w:color="7F7F7F"/>
              <w:left w:val="single" w:sz="6" w:space="0" w:color="7F7F7F"/>
              <w:bottom w:val="dotted" w:sz="6" w:space="0" w:color="7F7F7F"/>
              <w:right w:val="nil"/>
            </w:tcBorders>
            <w:vAlign w:val="center"/>
            <w:hideMark/>
          </w:tcPr>
          <w:p w14:paraId="5ADEC6A3" w14:textId="77777777" w:rsidR="00CA52A1" w:rsidRDefault="00CA52A1">
            <w:pPr>
              <w:spacing w:after="0"/>
              <w:rPr>
                <w:rFonts w:ascii="Segoe UI" w:eastAsia="Times New Roman" w:hAnsi="Segoe UI" w:cs="Segoe UI"/>
                <w:sz w:val="18"/>
                <w:szCs w:val="18"/>
              </w:rPr>
            </w:pPr>
          </w:p>
        </w:tc>
        <w:tc>
          <w:tcPr>
            <w:tcW w:w="4805" w:type="dxa"/>
            <w:gridSpan w:val="3"/>
            <w:tcBorders>
              <w:top w:val="single" w:sz="6" w:space="0" w:color="auto"/>
              <w:left w:val="single" w:sz="6" w:space="0" w:color="auto"/>
              <w:bottom w:val="single" w:sz="6" w:space="0" w:color="auto"/>
              <w:right w:val="single" w:sz="6" w:space="0" w:color="auto"/>
            </w:tcBorders>
            <w:hideMark/>
          </w:tcPr>
          <w:p w14:paraId="2F774CE2" w14:textId="77777777" w:rsidR="00CA52A1" w:rsidRDefault="00CA52A1" w:rsidP="001669AD">
            <w:pPr>
              <w:numPr>
                <w:ilvl w:val="0"/>
                <w:numId w:val="15"/>
              </w:numPr>
              <w:spacing w:after="0" w:line="240" w:lineRule="auto"/>
              <w:ind w:left="360"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color w:val="202124"/>
                <w:sz w:val="20"/>
                <w:szCs w:val="20"/>
                <w:shd w:val="clear" w:color="auto" w:fill="FFFFFF"/>
              </w:rPr>
              <w:t>Detyrat e menagjimit të industrsë ushqimore  Menaxhimi I kohës</w:t>
            </w:r>
            <w:r>
              <w:rPr>
                <w:rFonts w:ascii="Times New Roman" w:eastAsia="Times New Roman" w:hAnsi="Times New Roman" w:cs="Times New Roman"/>
                <w:color w:val="202124"/>
                <w:sz w:val="20"/>
                <w:szCs w:val="20"/>
              </w:rPr>
              <w:t> </w:t>
            </w:r>
          </w:p>
        </w:tc>
        <w:tc>
          <w:tcPr>
            <w:tcW w:w="1573" w:type="dxa"/>
            <w:tcBorders>
              <w:top w:val="single" w:sz="6" w:space="0" w:color="auto"/>
              <w:left w:val="single" w:sz="6" w:space="0" w:color="auto"/>
              <w:bottom w:val="single" w:sz="6" w:space="0" w:color="auto"/>
              <w:right w:val="single" w:sz="6" w:space="0" w:color="auto"/>
            </w:tcBorders>
            <w:hideMark/>
          </w:tcPr>
          <w:p w14:paraId="0ECD42A3" w14:textId="77777777" w:rsidR="00CA52A1" w:rsidRDefault="00CA52A1">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rPr>
              <w:t>4 </w:t>
            </w:r>
          </w:p>
        </w:tc>
      </w:tr>
      <w:tr w:rsidR="00CA52A1" w14:paraId="222C1B83" w14:textId="77777777" w:rsidTr="00CA52A1">
        <w:trPr>
          <w:trHeight w:val="525"/>
        </w:trPr>
        <w:tc>
          <w:tcPr>
            <w:tcW w:w="0" w:type="auto"/>
            <w:vMerge/>
            <w:tcBorders>
              <w:top w:val="single" w:sz="6" w:space="0" w:color="7F7F7F"/>
              <w:left w:val="single" w:sz="6" w:space="0" w:color="7F7F7F"/>
              <w:bottom w:val="dotted" w:sz="6" w:space="0" w:color="7F7F7F"/>
              <w:right w:val="nil"/>
            </w:tcBorders>
            <w:vAlign w:val="center"/>
            <w:hideMark/>
          </w:tcPr>
          <w:p w14:paraId="6049D55A" w14:textId="77777777" w:rsidR="00CA52A1" w:rsidRDefault="00CA52A1">
            <w:pPr>
              <w:spacing w:after="0"/>
              <w:rPr>
                <w:rFonts w:ascii="Segoe UI" w:eastAsia="Times New Roman" w:hAnsi="Segoe UI" w:cs="Segoe UI"/>
                <w:sz w:val="18"/>
                <w:szCs w:val="18"/>
              </w:rPr>
            </w:pPr>
          </w:p>
        </w:tc>
        <w:tc>
          <w:tcPr>
            <w:tcW w:w="4805" w:type="dxa"/>
            <w:gridSpan w:val="3"/>
            <w:tcBorders>
              <w:top w:val="single" w:sz="6" w:space="0" w:color="auto"/>
              <w:left w:val="single" w:sz="6" w:space="0" w:color="auto"/>
              <w:bottom w:val="single" w:sz="6" w:space="0" w:color="auto"/>
              <w:right w:val="single" w:sz="6" w:space="0" w:color="auto"/>
            </w:tcBorders>
            <w:hideMark/>
          </w:tcPr>
          <w:p w14:paraId="0B8AC89F" w14:textId="77777777" w:rsidR="00CA52A1" w:rsidRDefault="00CA52A1" w:rsidP="001669AD">
            <w:pPr>
              <w:numPr>
                <w:ilvl w:val="0"/>
                <w:numId w:val="16"/>
              </w:numPr>
              <w:spacing w:after="0" w:line="240" w:lineRule="auto"/>
              <w:ind w:left="360"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Të kuptuarit e zingjirit të vlerës dhe zinxhirit të furnizimit dhe efekti në menaxhimin e Industrisë Ushqimore  </w:t>
            </w:r>
          </w:p>
        </w:tc>
        <w:tc>
          <w:tcPr>
            <w:tcW w:w="1573" w:type="dxa"/>
            <w:tcBorders>
              <w:top w:val="single" w:sz="6" w:space="0" w:color="auto"/>
              <w:left w:val="single" w:sz="6" w:space="0" w:color="auto"/>
              <w:bottom w:val="single" w:sz="6" w:space="0" w:color="auto"/>
              <w:right w:val="single" w:sz="6" w:space="0" w:color="auto"/>
            </w:tcBorders>
            <w:hideMark/>
          </w:tcPr>
          <w:p w14:paraId="663F36F4" w14:textId="77777777" w:rsidR="00CA52A1" w:rsidRDefault="00CA52A1">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rPr>
              <w:t>5 </w:t>
            </w:r>
          </w:p>
        </w:tc>
      </w:tr>
      <w:tr w:rsidR="00CA52A1" w14:paraId="262667D8" w14:textId="77777777" w:rsidTr="00CA52A1">
        <w:trPr>
          <w:trHeight w:val="510"/>
        </w:trPr>
        <w:tc>
          <w:tcPr>
            <w:tcW w:w="0" w:type="auto"/>
            <w:vMerge/>
            <w:tcBorders>
              <w:top w:val="single" w:sz="6" w:space="0" w:color="7F7F7F"/>
              <w:left w:val="single" w:sz="6" w:space="0" w:color="7F7F7F"/>
              <w:bottom w:val="dotted" w:sz="6" w:space="0" w:color="7F7F7F"/>
              <w:right w:val="nil"/>
            </w:tcBorders>
            <w:vAlign w:val="center"/>
            <w:hideMark/>
          </w:tcPr>
          <w:p w14:paraId="11284783" w14:textId="77777777" w:rsidR="00CA52A1" w:rsidRDefault="00CA52A1">
            <w:pPr>
              <w:spacing w:after="0"/>
              <w:rPr>
                <w:rFonts w:ascii="Segoe UI" w:eastAsia="Times New Roman" w:hAnsi="Segoe UI" w:cs="Segoe UI"/>
                <w:sz w:val="18"/>
                <w:szCs w:val="18"/>
              </w:rPr>
            </w:pPr>
          </w:p>
        </w:tc>
        <w:tc>
          <w:tcPr>
            <w:tcW w:w="4805" w:type="dxa"/>
            <w:gridSpan w:val="3"/>
            <w:tcBorders>
              <w:top w:val="single" w:sz="6" w:space="0" w:color="auto"/>
              <w:left w:val="single" w:sz="6" w:space="0" w:color="auto"/>
              <w:bottom w:val="single" w:sz="6" w:space="0" w:color="auto"/>
              <w:right w:val="single" w:sz="6" w:space="0" w:color="auto"/>
            </w:tcBorders>
            <w:hideMark/>
          </w:tcPr>
          <w:p w14:paraId="514C14AD" w14:textId="77777777" w:rsidR="00CA52A1" w:rsidRDefault="00CA52A1" w:rsidP="001669AD">
            <w:pPr>
              <w:numPr>
                <w:ilvl w:val="0"/>
                <w:numId w:val="17"/>
              </w:numPr>
              <w:spacing w:after="0" w:line="240" w:lineRule="auto"/>
              <w:ind w:left="360"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Diversifikimi Bujqësor dhe ndikimi në Industrinë Ushqimore </w:t>
            </w:r>
          </w:p>
        </w:tc>
        <w:tc>
          <w:tcPr>
            <w:tcW w:w="1573" w:type="dxa"/>
            <w:tcBorders>
              <w:top w:val="single" w:sz="6" w:space="0" w:color="auto"/>
              <w:left w:val="single" w:sz="6" w:space="0" w:color="auto"/>
              <w:bottom w:val="single" w:sz="6" w:space="0" w:color="auto"/>
              <w:right w:val="single" w:sz="6" w:space="0" w:color="auto"/>
            </w:tcBorders>
            <w:hideMark/>
          </w:tcPr>
          <w:p w14:paraId="6EC21181" w14:textId="77777777" w:rsidR="00CA52A1" w:rsidRDefault="00CA52A1">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rPr>
              <w:t>6 </w:t>
            </w:r>
          </w:p>
        </w:tc>
      </w:tr>
      <w:tr w:rsidR="00CA52A1" w14:paraId="1A1F32A2" w14:textId="77777777" w:rsidTr="00CA52A1">
        <w:trPr>
          <w:trHeight w:val="615"/>
        </w:trPr>
        <w:tc>
          <w:tcPr>
            <w:tcW w:w="0" w:type="auto"/>
            <w:vMerge/>
            <w:tcBorders>
              <w:top w:val="single" w:sz="6" w:space="0" w:color="7F7F7F"/>
              <w:left w:val="single" w:sz="6" w:space="0" w:color="7F7F7F"/>
              <w:bottom w:val="dotted" w:sz="6" w:space="0" w:color="7F7F7F"/>
              <w:right w:val="nil"/>
            </w:tcBorders>
            <w:vAlign w:val="center"/>
            <w:hideMark/>
          </w:tcPr>
          <w:p w14:paraId="2A6A8530" w14:textId="77777777" w:rsidR="00CA52A1" w:rsidRDefault="00CA52A1">
            <w:pPr>
              <w:spacing w:after="0"/>
              <w:rPr>
                <w:rFonts w:ascii="Segoe UI" w:eastAsia="Times New Roman" w:hAnsi="Segoe UI" w:cs="Segoe UI"/>
                <w:sz w:val="18"/>
                <w:szCs w:val="18"/>
              </w:rPr>
            </w:pPr>
          </w:p>
        </w:tc>
        <w:tc>
          <w:tcPr>
            <w:tcW w:w="4805" w:type="dxa"/>
            <w:gridSpan w:val="3"/>
            <w:tcBorders>
              <w:top w:val="single" w:sz="6" w:space="0" w:color="auto"/>
              <w:left w:val="single" w:sz="6" w:space="0" w:color="auto"/>
              <w:bottom w:val="single" w:sz="6" w:space="0" w:color="auto"/>
              <w:right w:val="single" w:sz="6" w:space="0" w:color="auto"/>
            </w:tcBorders>
            <w:hideMark/>
          </w:tcPr>
          <w:p w14:paraId="5384535C" w14:textId="77777777" w:rsidR="00CA52A1" w:rsidRDefault="00CA52A1" w:rsidP="001669AD">
            <w:pPr>
              <w:numPr>
                <w:ilvl w:val="0"/>
                <w:numId w:val="18"/>
              </w:numPr>
              <w:spacing w:after="0" w:line="240" w:lineRule="auto"/>
              <w:ind w:left="360"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Edukimi, hulumtimi dhe zhvillimi në kuadër të Menaxhimit të Industrisë Ushqimore </w:t>
            </w:r>
          </w:p>
        </w:tc>
        <w:tc>
          <w:tcPr>
            <w:tcW w:w="1573" w:type="dxa"/>
            <w:tcBorders>
              <w:top w:val="single" w:sz="6" w:space="0" w:color="auto"/>
              <w:left w:val="single" w:sz="6" w:space="0" w:color="auto"/>
              <w:bottom w:val="single" w:sz="6" w:space="0" w:color="auto"/>
              <w:right w:val="single" w:sz="6" w:space="0" w:color="auto"/>
            </w:tcBorders>
            <w:hideMark/>
          </w:tcPr>
          <w:p w14:paraId="167ED0DC" w14:textId="77777777" w:rsidR="00CA52A1" w:rsidRDefault="00CA52A1">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rPr>
              <w:t>7 </w:t>
            </w:r>
          </w:p>
        </w:tc>
      </w:tr>
      <w:tr w:rsidR="00CA52A1" w14:paraId="2CF768CD" w14:textId="77777777" w:rsidTr="00CA52A1">
        <w:trPr>
          <w:trHeight w:val="510"/>
        </w:trPr>
        <w:tc>
          <w:tcPr>
            <w:tcW w:w="0" w:type="auto"/>
            <w:vMerge/>
            <w:tcBorders>
              <w:top w:val="single" w:sz="6" w:space="0" w:color="7F7F7F"/>
              <w:left w:val="single" w:sz="6" w:space="0" w:color="7F7F7F"/>
              <w:bottom w:val="dotted" w:sz="6" w:space="0" w:color="7F7F7F"/>
              <w:right w:val="nil"/>
            </w:tcBorders>
            <w:vAlign w:val="center"/>
            <w:hideMark/>
          </w:tcPr>
          <w:p w14:paraId="39E638DC" w14:textId="77777777" w:rsidR="00CA52A1" w:rsidRDefault="00CA52A1">
            <w:pPr>
              <w:spacing w:after="0"/>
              <w:rPr>
                <w:rFonts w:ascii="Segoe UI" w:eastAsia="Times New Roman" w:hAnsi="Segoe UI" w:cs="Segoe UI"/>
                <w:sz w:val="18"/>
                <w:szCs w:val="18"/>
              </w:rPr>
            </w:pPr>
          </w:p>
        </w:tc>
        <w:tc>
          <w:tcPr>
            <w:tcW w:w="4805" w:type="dxa"/>
            <w:gridSpan w:val="3"/>
            <w:tcBorders>
              <w:top w:val="single" w:sz="6" w:space="0" w:color="auto"/>
              <w:left w:val="single" w:sz="6" w:space="0" w:color="auto"/>
              <w:bottom w:val="single" w:sz="6" w:space="0" w:color="auto"/>
              <w:right w:val="single" w:sz="6" w:space="0" w:color="auto"/>
            </w:tcBorders>
            <w:hideMark/>
          </w:tcPr>
          <w:p w14:paraId="502018C0" w14:textId="77777777" w:rsidR="00CA52A1" w:rsidRDefault="00CA52A1" w:rsidP="001669AD">
            <w:pPr>
              <w:numPr>
                <w:ilvl w:val="0"/>
                <w:numId w:val="19"/>
              </w:numPr>
              <w:shd w:val="clear" w:color="auto" w:fill="FFFFFF"/>
              <w:spacing w:after="0" w:line="240" w:lineRule="auto"/>
              <w:ind w:left="360"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Menaxhimi i Marketingut në kuadër të Industrisë Ushqimore </w:t>
            </w:r>
            <w:r>
              <w:rPr>
                <w:rFonts w:ascii="Times New Roman" w:eastAsia="Times New Roman" w:hAnsi="Times New Roman" w:cs="Times New Roman"/>
                <w:color w:val="191919"/>
                <w:sz w:val="21"/>
                <w:szCs w:val="21"/>
              </w:rPr>
              <w:t>Marketingu dhe Performanca e Biznesit </w:t>
            </w:r>
          </w:p>
        </w:tc>
        <w:tc>
          <w:tcPr>
            <w:tcW w:w="1573" w:type="dxa"/>
            <w:tcBorders>
              <w:top w:val="single" w:sz="6" w:space="0" w:color="auto"/>
              <w:left w:val="single" w:sz="6" w:space="0" w:color="auto"/>
              <w:bottom w:val="single" w:sz="6" w:space="0" w:color="auto"/>
              <w:right w:val="single" w:sz="6" w:space="0" w:color="auto"/>
            </w:tcBorders>
            <w:hideMark/>
          </w:tcPr>
          <w:p w14:paraId="7A626CDE" w14:textId="77777777" w:rsidR="00CA52A1" w:rsidRDefault="00CA52A1">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rPr>
              <w:t>8 </w:t>
            </w:r>
          </w:p>
        </w:tc>
      </w:tr>
      <w:tr w:rsidR="00CA52A1" w14:paraId="1A66C9B6" w14:textId="77777777" w:rsidTr="00CA52A1">
        <w:trPr>
          <w:trHeight w:val="615"/>
        </w:trPr>
        <w:tc>
          <w:tcPr>
            <w:tcW w:w="0" w:type="auto"/>
            <w:vMerge/>
            <w:tcBorders>
              <w:top w:val="single" w:sz="6" w:space="0" w:color="7F7F7F"/>
              <w:left w:val="single" w:sz="6" w:space="0" w:color="7F7F7F"/>
              <w:bottom w:val="dotted" w:sz="6" w:space="0" w:color="7F7F7F"/>
              <w:right w:val="nil"/>
            </w:tcBorders>
            <w:vAlign w:val="center"/>
            <w:hideMark/>
          </w:tcPr>
          <w:p w14:paraId="2A7C4688" w14:textId="77777777" w:rsidR="00CA52A1" w:rsidRDefault="00CA52A1">
            <w:pPr>
              <w:spacing w:after="0"/>
              <w:rPr>
                <w:rFonts w:ascii="Segoe UI" w:eastAsia="Times New Roman" w:hAnsi="Segoe UI" w:cs="Segoe UI"/>
                <w:sz w:val="18"/>
                <w:szCs w:val="18"/>
              </w:rPr>
            </w:pPr>
          </w:p>
        </w:tc>
        <w:tc>
          <w:tcPr>
            <w:tcW w:w="4805" w:type="dxa"/>
            <w:gridSpan w:val="3"/>
            <w:tcBorders>
              <w:top w:val="single" w:sz="6" w:space="0" w:color="auto"/>
              <w:left w:val="single" w:sz="6" w:space="0" w:color="auto"/>
              <w:bottom w:val="single" w:sz="6" w:space="0" w:color="auto"/>
              <w:right w:val="single" w:sz="6" w:space="0" w:color="auto"/>
            </w:tcBorders>
            <w:hideMark/>
          </w:tcPr>
          <w:p w14:paraId="7CAAA2DF" w14:textId="77777777" w:rsidR="00CA52A1" w:rsidRDefault="00CA52A1" w:rsidP="001669AD">
            <w:pPr>
              <w:numPr>
                <w:ilvl w:val="0"/>
                <w:numId w:val="20"/>
              </w:numPr>
              <w:spacing w:after="0" w:line="240" w:lineRule="auto"/>
              <w:ind w:left="360"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Menaxhimi i Shërbimeve financiare në Industrinë Ushqimore </w:t>
            </w:r>
          </w:p>
        </w:tc>
        <w:tc>
          <w:tcPr>
            <w:tcW w:w="1573" w:type="dxa"/>
            <w:tcBorders>
              <w:top w:val="single" w:sz="6" w:space="0" w:color="auto"/>
              <w:left w:val="single" w:sz="6" w:space="0" w:color="auto"/>
              <w:bottom w:val="single" w:sz="6" w:space="0" w:color="auto"/>
              <w:right w:val="single" w:sz="6" w:space="0" w:color="auto"/>
            </w:tcBorders>
            <w:hideMark/>
          </w:tcPr>
          <w:p w14:paraId="3937528D" w14:textId="77777777" w:rsidR="00CA52A1" w:rsidRDefault="00CA52A1">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rPr>
              <w:t>9 </w:t>
            </w:r>
          </w:p>
        </w:tc>
      </w:tr>
      <w:tr w:rsidR="00CA52A1" w14:paraId="4C7BA995" w14:textId="77777777" w:rsidTr="00CA52A1">
        <w:trPr>
          <w:trHeight w:val="540"/>
        </w:trPr>
        <w:tc>
          <w:tcPr>
            <w:tcW w:w="0" w:type="auto"/>
            <w:vMerge/>
            <w:tcBorders>
              <w:top w:val="single" w:sz="6" w:space="0" w:color="7F7F7F"/>
              <w:left w:val="single" w:sz="6" w:space="0" w:color="7F7F7F"/>
              <w:bottom w:val="dotted" w:sz="6" w:space="0" w:color="7F7F7F"/>
              <w:right w:val="nil"/>
            </w:tcBorders>
            <w:vAlign w:val="center"/>
            <w:hideMark/>
          </w:tcPr>
          <w:p w14:paraId="74550077" w14:textId="77777777" w:rsidR="00CA52A1" w:rsidRDefault="00CA52A1">
            <w:pPr>
              <w:spacing w:after="0"/>
              <w:rPr>
                <w:rFonts w:ascii="Segoe UI" w:eastAsia="Times New Roman" w:hAnsi="Segoe UI" w:cs="Segoe UI"/>
                <w:sz w:val="18"/>
                <w:szCs w:val="18"/>
              </w:rPr>
            </w:pPr>
          </w:p>
        </w:tc>
        <w:tc>
          <w:tcPr>
            <w:tcW w:w="4805" w:type="dxa"/>
            <w:gridSpan w:val="3"/>
            <w:tcBorders>
              <w:top w:val="single" w:sz="6" w:space="0" w:color="auto"/>
              <w:left w:val="single" w:sz="6" w:space="0" w:color="auto"/>
              <w:bottom w:val="single" w:sz="6" w:space="0" w:color="auto"/>
              <w:right w:val="single" w:sz="6" w:space="0" w:color="auto"/>
            </w:tcBorders>
            <w:hideMark/>
          </w:tcPr>
          <w:p w14:paraId="7BFFBBA7" w14:textId="77777777" w:rsidR="00CA52A1" w:rsidRDefault="00CA52A1" w:rsidP="001669AD">
            <w:pPr>
              <w:numPr>
                <w:ilvl w:val="0"/>
                <w:numId w:val="21"/>
              </w:numPr>
              <w:spacing w:after="0" w:line="240" w:lineRule="auto"/>
              <w:ind w:left="360"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Menaxhimi i efekteve të Industrisë Ushqimore në mjedis  </w:t>
            </w:r>
          </w:p>
        </w:tc>
        <w:tc>
          <w:tcPr>
            <w:tcW w:w="1573" w:type="dxa"/>
            <w:tcBorders>
              <w:top w:val="single" w:sz="6" w:space="0" w:color="auto"/>
              <w:left w:val="single" w:sz="6" w:space="0" w:color="auto"/>
              <w:bottom w:val="single" w:sz="6" w:space="0" w:color="auto"/>
              <w:right w:val="single" w:sz="6" w:space="0" w:color="auto"/>
            </w:tcBorders>
            <w:hideMark/>
          </w:tcPr>
          <w:p w14:paraId="1CCF0190" w14:textId="77777777" w:rsidR="00CA52A1" w:rsidRDefault="00CA52A1">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rPr>
              <w:t>10  </w:t>
            </w:r>
          </w:p>
        </w:tc>
      </w:tr>
      <w:tr w:rsidR="00CA52A1" w14:paraId="6708F53A" w14:textId="77777777" w:rsidTr="00CA52A1">
        <w:trPr>
          <w:trHeight w:val="570"/>
        </w:trPr>
        <w:tc>
          <w:tcPr>
            <w:tcW w:w="0" w:type="auto"/>
            <w:vMerge/>
            <w:tcBorders>
              <w:top w:val="single" w:sz="6" w:space="0" w:color="7F7F7F"/>
              <w:left w:val="single" w:sz="6" w:space="0" w:color="7F7F7F"/>
              <w:bottom w:val="dotted" w:sz="6" w:space="0" w:color="7F7F7F"/>
              <w:right w:val="nil"/>
            </w:tcBorders>
            <w:vAlign w:val="center"/>
            <w:hideMark/>
          </w:tcPr>
          <w:p w14:paraId="3F25A2C7" w14:textId="77777777" w:rsidR="00CA52A1" w:rsidRDefault="00CA52A1">
            <w:pPr>
              <w:spacing w:after="0"/>
              <w:rPr>
                <w:rFonts w:ascii="Segoe UI" w:eastAsia="Times New Roman" w:hAnsi="Segoe UI" w:cs="Segoe UI"/>
                <w:sz w:val="18"/>
                <w:szCs w:val="18"/>
              </w:rPr>
            </w:pPr>
          </w:p>
        </w:tc>
        <w:tc>
          <w:tcPr>
            <w:tcW w:w="4805" w:type="dxa"/>
            <w:gridSpan w:val="3"/>
            <w:tcBorders>
              <w:top w:val="single" w:sz="6" w:space="0" w:color="auto"/>
              <w:left w:val="single" w:sz="6" w:space="0" w:color="auto"/>
              <w:bottom w:val="single" w:sz="6" w:space="0" w:color="auto"/>
              <w:right w:val="single" w:sz="6" w:space="0" w:color="auto"/>
            </w:tcBorders>
            <w:hideMark/>
          </w:tcPr>
          <w:p w14:paraId="21E28A7B" w14:textId="77777777" w:rsidR="00CA52A1" w:rsidRDefault="00CA52A1" w:rsidP="001669AD">
            <w:pPr>
              <w:numPr>
                <w:ilvl w:val="0"/>
                <w:numId w:val="22"/>
              </w:numPr>
              <w:spacing w:after="0" w:line="240" w:lineRule="auto"/>
              <w:ind w:left="360"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Menaxhimi i logjisitikës dhe efektet në Industrinë Ushqimore </w:t>
            </w:r>
          </w:p>
        </w:tc>
        <w:tc>
          <w:tcPr>
            <w:tcW w:w="1573" w:type="dxa"/>
            <w:tcBorders>
              <w:top w:val="single" w:sz="6" w:space="0" w:color="auto"/>
              <w:left w:val="single" w:sz="6" w:space="0" w:color="auto"/>
              <w:bottom w:val="single" w:sz="6" w:space="0" w:color="auto"/>
              <w:right w:val="single" w:sz="6" w:space="0" w:color="auto"/>
            </w:tcBorders>
            <w:hideMark/>
          </w:tcPr>
          <w:p w14:paraId="0AE75087" w14:textId="77777777" w:rsidR="00CA52A1" w:rsidRDefault="00CA52A1">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rPr>
              <w:t>11 </w:t>
            </w:r>
          </w:p>
        </w:tc>
      </w:tr>
      <w:tr w:rsidR="00CA52A1" w14:paraId="324B4A87" w14:textId="77777777" w:rsidTr="00CA52A1">
        <w:trPr>
          <w:trHeight w:val="600"/>
        </w:trPr>
        <w:tc>
          <w:tcPr>
            <w:tcW w:w="0" w:type="auto"/>
            <w:vMerge/>
            <w:tcBorders>
              <w:top w:val="single" w:sz="6" w:space="0" w:color="7F7F7F"/>
              <w:left w:val="single" w:sz="6" w:space="0" w:color="7F7F7F"/>
              <w:bottom w:val="dotted" w:sz="6" w:space="0" w:color="7F7F7F"/>
              <w:right w:val="nil"/>
            </w:tcBorders>
            <w:vAlign w:val="center"/>
            <w:hideMark/>
          </w:tcPr>
          <w:p w14:paraId="5DB49606" w14:textId="77777777" w:rsidR="00CA52A1" w:rsidRDefault="00CA52A1">
            <w:pPr>
              <w:spacing w:after="0"/>
              <w:rPr>
                <w:rFonts w:ascii="Segoe UI" w:eastAsia="Times New Roman" w:hAnsi="Segoe UI" w:cs="Segoe UI"/>
                <w:sz w:val="18"/>
                <w:szCs w:val="18"/>
              </w:rPr>
            </w:pPr>
          </w:p>
        </w:tc>
        <w:tc>
          <w:tcPr>
            <w:tcW w:w="4805" w:type="dxa"/>
            <w:gridSpan w:val="3"/>
            <w:tcBorders>
              <w:top w:val="single" w:sz="6" w:space="0" w:color="auto"/>
              <w:left w:val="single" w:sz="6" w:space="0" w:color="auto"/>
              <w:bottom w:val="single" w:sz="6" w:space="0" w:color="auto"/>
              <w:right w:val="single" w:sz="6" w:space="0" w:color="auto"/>
            </w:tcBorders>
            <w:hideMark/>
          </w:tcPr>
          <w:p w14:paraId="73EC49DB" w14:textId="77777777" w:rsidR="00CA52A1" w:rsidRDefault="00CA52A1" w:rsidP="001669AD">
            <w:pPr>
              <w:numPr>
                <w:ilvl w:val="0"/>
                <w:numId w:val="23"/>
              </w:numPr>
              <w:spacing w:after="0" w:line="240" w:lineRule="auto"/>
              <w:ind w:left="360"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Standardet, Rregulloret dhe Legjislacioni lidhur me Menaxhimin në Industrinë Ushqimore  </w:t>
            </w:r>
          </w:p>
        </w:tc>
        <w:tc>
          <w:tcPr>
            <w:tcW w:w="1573" w:type="dxa"/>
            <w:tcBorders>
              <w:top w:val="single" w:sz="6" w:space="0" w:color="auto"/>
              <w:left w:val="single" w:sz="6" w:space="0" w:color="auto"/>
              <w:bottom w:val="single" w:sz="6" w:space="0" w:color="auto"/>
              <w:right w:val="single" w:sz="6" w:space="0" w:color="auto"/>
            </w:tcBorders>
            <w:hideMark/>
          </w:tcPr>
          <w:p w14:paraId="4ADA430E" w14:textId="77777777" w:rsidR="00CA52A1" w:rsidRDefault="00CA52A1">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rPr>
              <w:t>12 </w:t>
            </w:r>
          </w:p>
        </w:tc>
      </w:tr>
      <w:tr w:rsidR="00CA52A1" w14:paraId="66A188AA" w14:textId="77777777" w:rsidTr="00CA52A1">
        <w:trPr>
          <w:trHeight w:val="585"/>
        </w:trPr>
        <w:tc>
          <w:tcPr>
            <w:tcW w:w="0" w:type="auto"/>
            <w:vMerge/>
            <w:tcBorders>
              <w:top w:val="single" w:sz="6" w:space="0" w:color="7F7F7F"/>
              <w:left w:val="single" w:sz="6" w:space="0" w:color="7F7F7F"/>
              <w:bottom w:val="dotted" w:sz="6" w:space="0" w:color="7F7F7F"/>
              <w:right w:val="nil"/>
            </w:tcBorders>
            <w:vAlign w:val="center"/>
            <w:hideMark/>
          </w:tcPr>
          <w:p w14:paraId="0D76D9BD" w14:textId="77777777" w:rsidR="00CA52A1" w:rsidRDefault="00CA52A1">
            <w:pPr>
              <w:spacing w:after="0"/>
              <w:rPr>
                <w:rFonts w:ascii="Segoe UI" w:eastAsia="Times New Roman" w:hAnsi="Segoe UI" w:cs="Segoe UI"/>
                <w:sz w:val="18"/>
                <w:szCs w:val="18"/>
              </w:rPr>
            </w:pPr>
          </w:p>
        </w:tc>
        <w:tc>
          <w:tcPr>
            <w:tcW w:w="4805" w:type="dxa"/>
            <w:gridSpan w:val="3"/>
            <w:tcBorders>
              <w:top w:val="single" w:sz="6" w:space="0" w:color="auto"/>
              <w:left w:val="single" w:sz="6" w:space="0" w:color="auto"/>
              <w:bottom w:val="single" w:sz="6" w:space="0" w:color="auto"/>
              <w:right w:val="single" w:sz="6" w:space="0" w:color="auto"/>
            </w:tcBorders>
            <w:hideMark/>
          </w:tcPr>
          <w:p w14:paraId="238BE015" w14:textId="77777777" w:rsidR="00CA52A1" w:rsidRDefault="00CA52A1" w:rsidP="001669AD">
            <w:pPr>
              <w:numPr>
                <w:ilvl w:val="0"/>
                <w:numId w:val="24"/>
              </w:numPr>
              <w:spacing w:after="0" w:line="240" w:lineRule="auto"/>
              <w:ind w:left="360"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Projekte </w:t>
            </w:r>
          </w:p>
        </w:tc>
        <w:tc>
          <w:tcPr>
            <w:tcW w:w="1573" w:type="dxa"/>
            <w:tcBorders>
              <w:top w:val="single" w:sz="6" w:space="0" w:color="auto"/>
              <w:left w:val="single" w:sz="6" w:space="0" w:color="auto"/>
              <w:bottom w:val="single" w:sz="6" w:space="0" w:color="auto"/>
              <w:right w:val="single" w:sz="6" w:space="0" w:color="auto"/>
            </w:tcBorders>
            <w:hideMark/>
          </w:tcPr>
          <w:p w14:paraId="482056DA" w14:textId="77777777" w:rsidR="00CA52A1" w:rsidRDefault="00CA52A1">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rPr>
              <w:t>13 </w:t>
            </w:r>
          </w:p>
          <w:p w14:paraId="1BB0BF24" w14:textId="77777777" w:rsidR="00CA52A1" w:rsidRDefault="00CA52A1">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rPr>
              <w:t> </w:t>
            </w:r>
          </w:p>
        </w:tc>
      </w:tr>
      <w:tr w:rsidR="00CA52A1" w14:paraId="73938946" w14:textId="77777777" w:rsidTr="00CA52A1">
        <w:trPr>
          <w:trHeight w:val="495"/>
        </w:trPr>
        <w:tc>
          <w:tcPr>
            <w:tcW w:w="0" w:type="auto"/>
            <w:vMerge/>
            <w:tcBorders>
              <w:top w:val="single" w:sz="6" w:space="0" w:color="7F7F7F"/>
              <w:left w:val="single" w:sz="6" w:space="0" w:color="7F7F7F"/>
              <w:bottom w:val="dotted" w:sz="6" w:space="0" w:color="7F7F7F"/>
              <w:right w:val="nil"/>
            </w:tcBorders>
            <w:vAlign w:val="center"/>
            <w:hideMark/>
          </w:tcPr>
          <w:p w14:paraId="5E04D1A0" w14:textId="77777777" w:rsidR="00CA52A1" w:rsidRDefault="00CA52A1">
            <w:pPr>
              <w:spacing w:after="0"/>
              <w:rPr>
                <w:rFonts w:ascii="Segoe UI" w:eastAsia="Times New Roman" w:hAnsi="Segoe UI" w:cs="Segoe UI"/>
                <w:sz w:val="18"/>
                <w:szCs w:val="18"/>
              </w:rPr>
            </w:pPr>
          </w:p>
        </w:tc>
        <w:tc>
          <w:tcPr>
            <w:tcW w:w="4805" w:type="dxa"/>
            <w:gridSpan w:val="3"/>
            <w:tcBorders>
              <w:top w:val="single" w:sz="6" w:space="0" w:color="auto"/>
              <w:left w:val="single" w:sz="6" w:space="0" w:color="auto"/>
              <w:bottom w:val="single" w:sz="6" w:space="0" w:color="auto"/>
              <w:right w:val="single" w:sz="6" w:space="0" w:color="auto"/>
            </w:tcBorders>
            <w:hideMark/>
          </w:tcPr>
          <w:p w14:paraId="79EAC83B" w14:textId="77777777" w:rsidR="00CA52A1" w:rsidRDefault="00CA52A1" w:rsidP="001669AD">
            <w:pPr>
              <w:numPr>
                <w:ilvl w:val="0"/>
                <w:numId w:val="25"/>
              </w:numPr>
              <w:shd w:val="clear" w:color="auto" w:fill="FFFFFF"/>
              <w:spacing w:after="0" w:line="240" w:lineRule="auto"/>
              <w:ind w:left="360"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Seminare </w:t>
            </w:r>
          </w:p>
        </w:tc>
        <w:tc>
          <w:tcPr>
            <w:tcW w:w="1573" w:type="dxa"/>
            <w:tcBorders>
              <w:top w:val="single" w:sz="6" w:space="0" w:color="auto"/>
              <w:left w:val="single" w:sz="6" w:space="0" w:color="auto"/>
              <w:bottom w:val="single" w:sz="6" w:space="0" w:color="auto"/>
              <w:right w:val="single" w:sz="6" w:space="0" w:color="auto"/>
            </w:tcBorders>
            <w:hideMark/>
          </w:tcPr>
          <w:p w14:paraId="3F1068DC" w14:textId="77777777" w:rsidR="00CA52A1" w:rsidRDefault="00CA52A1">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rPr>
              <w:t>14 </w:t>
            </w:r>
          </w:p>
        </w:tc>
      </w:tr>
      <w:tr w:rsidR="00CA52A1" w14:paraId="6AE8EA5E" w14:textId="77777777" w:rsidTr="00CA52A1">
        <w:trPr>
          <w:trHeight w:val="390"/>
        </w:trPr>
        <w:tc>
          <w:tcPr>
            <w:tcW w:w="2966" w:type="dxa"/>
            <w:tcBorders>
              <w:top w:val="nil"/>
              <w:left w:val="single" w:sz="6" w:space="0" w:color="7F7F7F"/>
              <w:bottom w:val="dotted" w:sz="6" w:space="0" w:color="7F7F7F"/>
              <w:right w:val="single" w:sz="6" w:space="0" w:color="auto"/>
            </w:tcBorders>
            <w:shd w:val="clear" w:color="auto" w:fill="D9E2F3"/>
            <w:vAlign w:val="center"/>
            <w:hideMark/>
          </w:tcPr>
          <w:p w14:paraId="7E063BF6" w14:textId="77777777" w:rsidR="00CA52A1" w:rsidRDefault="00CA52A1">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rPr>
              <w:t> </w:t>
            </w:r>
          </w:p>
        </w:tc>
        <w:tc>
          <w:tcPr>
            <w:tcW w:w="4805" w:type="dxa"/>
            <w:gridSpan w:val="3"/>
            <w:tcBorders>
              <w:top w:val="single" w:sz="6" w:space="0" w:color="auto"/>
              <w:left w:val="single" w:sz="6" w:space="0" w:color="auto"/>
              <w:bottom w:val="dotted" w:sz="6" w:space="0" w:color="7F7F7F"/>
              <w:right w:val="single" w:sz="6" w:space="0" w:color="auto"/>
            </w:tcBorders>
            <w:hideMark/>
          </w:tcPr>
          <w:p w14:paraId="50373E2F" w14:textId="77777777" w:rsidR="00CA52A1" w:rsidRDefault="00CA52A1" w:rsidP="001669AD">
            <w:pPr>
              <w:numPr>
                <w:ilvl w:val="0"/>
                <w:numId w:val="26"/>
              </w:numPr>
              <w:spacing w:after="0" w:line="240" w:lineRule="auto"/>
              <w:ind w:left="360" w:firstLine="0"/>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Provimi përfundimtar </w:t>
            </w:r>
          </w:p>
        </w:tc>
        <w:tc>
          <w:tcPr>
            <w:tcW w:w="1573" w:type="dxa"/>
            <w:tcBorders>
              <w:top w:val="single" w:sz="6" w:space="0" w:color="auto"/>
              <w:left w:val="single" w:sz="6" w:space="0" w:color="auto"/>
              <w:bottom w:val="dotted" w:sz="6" w:space="0" w:color="7F7F7F"/>
              <w:right w:val="single" w:sz="6" w:space="0" w:color="auto"/>
            </w:tcBorders>
            <w:hideMark/>
          </w:tcPr>
          <w:p w14:paraId="7259679D" w14:textId="77777777" w:rsidR="00CA52A1" w:rsidRDefault="00CA52A1">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rPr>
              <w:t>15 </w:t>
            </w:r>
          </w:p>
        </w:tc>
      </w:tr>
      <w:tr w:rsidR="00CA52A1" w14:paraId="1FCB5495" w14:textId="77777777" w:rsidTr="00CA52A1">
        <w:trPr>
          <w:trHeight w:val="300"/>
        </w:trPr>
        <w:tc>
          <w:tcPr>
            <w:tcW w:w="2966" w:type="dxa"/>
            <w:tcBorders>
              <w:top w:val="single" w:sz="6" w:space="0" w:color="7F7F7F"/>
              <w:left w:val="single" w:sz="6" w:space="0" w:color="7F7F7F"/>
              <w:bottom w:val="single" w:sz="6" w:space="0" w:color="7F7F7F"/>
              <w:right w:val="nil"/>
            </w:tcBorders>
            <w:shd w:val="clear" w:color="auto" w:fill="D9E2F3"/>
            <w:vAlign w:val="center"/>
            <w:hideMark/>
          </w:tcPr>
          <w:p w14:paraId="04740D91" w14:textId="77777777" w:rsidR="00CA52A1" w:rsidRDefault="00CA52A1">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rPr>
              <w:lastRenderedPageBreak/>
              <w:t>Literatura </w:t>
            </w:r>
          </w:p>
        </w:tc>
        <w:tc>
          <w:tcPr>
            <w:tcW w:w="6378" w:type="dxa"/>
            <w:gridSpan w:val="4"/>
            <w:tcBorders>
              <w:top w:val="single" w:sz="6" w:space="0" w:color="7F7F7F"/>
              <w:left w:val="nil"/>
              <w:bottom w:val="single" w:sz="6" w:space="0" w:color="7F7F7F"/>
              <w:right w:val="single" w:sz="6" w:space="0" w:color="7F7F7F"/>
            </w:tcBorders>
            <w:vAlign w:val="center"/>
            <w:hideMark/>
          </w:tcPr>
          <w:p w14:paraId="73391910" w14:textId="77777777" w:rsidR="00CA52A1" w:rsidRDefault="00CA52A1" w:rsidP="001669AD">
            <w:pPr>
              <w:numPr>
                <w:ilvl w:val="0"/>
                <w:numId w:val="27"/>
              </w:numPr>
              <w:spacing w:after="0" w:line="240" w:lineRule="auto"/>
              <w:ind w:left="360" w:firstLine="0"/>
              <w:jc w:val="both"/>
              <w:textAlignment w:val="baseline"/>
              <w:rPr>
                <w:rFonts w:ascii="Times New Roman" w:eastAsia="Times New Roman" w:hAnsi="Times New Roman" w:cs="Times New Roman"/>
                <w:sz w:val="20"/>
                <w:szCs w:val="20"/>
              </w:rPr>
            </w:pPr>
            <w:hyperlink r:id="rId5" w:tgtFrame="_blank" w:history="1">
              <w:r>
                <w:rPr>
                  <w:rStyle w:val="Hyperlink"/>
                  <w:rFonts w:ascii="Times New Roman" w:eastAsia="Times New Roman" w:hAnsi="Times New Roman" w:cs="Times New Roman"/>
                  <w:color w:val="0563C1"/>
                  <w:sz w:val="20"/>
                  <w:szCs w:val="20"/>
                  <w:shd w:val="clear" w:color="auto" w:fill="FFFFFF"/>
                  <w:lang w:val="en-GB"/>
                </w:rPr>
                <w:t>Quiroz-Flores, J.C.</w:t>
              </w:r>
            </w:hyperlink>
            <w:r>
              <w:rPr>
                <w:rFonts w:ascii="Times New Roman" w:eastAsia="Times New Roman" w:hAnsi="Times New Roman" w:cs="Times New Roman"/>
                <w:sz w:val="20"/>
                <w:szCs w:val="20"/>
                <w:shd w:val="clear" w:color="auto" w:fill="FFFFFF"/>
                <w:lang w:val="en-GB"/>
              </w:rPr>
              <w:t>, </w:t>
            </w:r>
            <w:hyperlink r:id="rId6" w:tgtFrame="_blank" w:history="1">
              <w:r>
                <w:rPr>
                  <w:rStyle w:val="Hyperlink"/>
                  <w:rFonts w:ascii="Times New Roman" w:eastAsia="Times New Roman" w:hAnsi="Times New Roman" w:cs="Times New Roman"/>
                  <w:color w:val="0563C1"/>
                  <w:sz w:val="20"/>
                  <w:szCs w:val="20"/>
                  <w:shd w:val="clear" w:color="auto" w:fill="FFFFFF"/>
                  <w:lang w:val="en-GB"/>
                </w:rPr>
                <w:t>Aguado-Rodriguez, R.J.</w:t>
              </w:r>
            </w:hyperlink>
            <w:r>
              <w:rPr>
                <w:rFonts w:ascii="Times New Roman" w:eastAsia="Times New Roman" w:hAnsi="Times New Roman" w:cs="Times New Roman"/>
                <w:sz w:val="20"/>
                <w:szCs w:val="20"/>
                <w:shd w:val="clear" w:color="auto" w:fill="FFFFFF"/>
                <w:lang w:val="en-GB"/>
              </w:rPr>
              <w:t>, </w:t>
            </w:r>
            <w:hyperlink r:id="rId7" w:tgtFrame="_blank" w:history="1">
              <w:r>
                <w:rPr>
                  <w:rStyle w:val="Hyperlink"/>
                  <w:rFonts w:ascii="Times New Roman" w:eastAsia="Times New Roman" w:hAnsi="Times New Roman" w:cs="Times New Roman"/>
                  <w:color w:val="0563C1"/>
                  <w:sz w:val="20"/>
                  <w:szCs w:val="20"/>
                  <w:shd w:val="clear" w:color="auto" w:fill="FFFFFF"/>
                  <w:lang w:val="en-GB"/>
                </w:rPr>
                <w:t>Zegarra-Aguinaga, E.A.</w:t>
              </w:r>
            </w:hyperlink>
            <w:r>
              <w:rPr>
                <w:rFonts w:ascii="Times New Roman" w:eastAsia="Times New Roman" w:hAnsi="Times New Roman" w:cs="Times New Roman"/>
                <w:sz w:val="20"/>
                <w:szCs w:val="20"/>
                <w:shd w:val="clear" w:color="auto" w:fill="FFFFFF"/>
                <w:lang w:val="en-GB"/>
              </w:rPr>
              <w:t>, </w:t>
            </w:r>
            <w:hyperlink r:id="rId8" w:tgtFrame="_blank" w:history="1">
              <w:r>
                <w:rPr>
                  <w:rStyle w:val="Hyperlink"/>
                  <w:rFonts w:ascii="Times New Roman" w:eastAsia="Times New Roman" w:hAnsi="Times New Roman" w:cs="Times New Roman"/>
                  <w:color w:val="0563C1"/>
                  <w:sz w:val="20"/>
                  <w:szCs w:val="20"/>
                  <w:shd w:val="clear" w:color="auto" w:fill="FFFFFF"/>
                  <w:lang w:val="en-GB"/>
                </w:rPr>
                <w:t>Collao-Diaz, M.F.</w:t>
              </w:r>
            </w:hyperlink>
            <w:r>
              <w:rPr>
                <w:rFonts w:ascii="Times New Roman" w:eastAsia="Times New Roman" w:hAnsi="Times New Roman" w:cs="Times New Roman"/>
                <w:sz w:val="20"/>
                <w:szCs w:val="20"/>
                <w:shd w:val="clear" w:color="auto" w:fill="FFFFFF"/>
                <w:lang w:val="en-GB"/>
              </w:rPr>
              <w:t> and </w:t>
            </w:r>
            <w:hyperlink r:id="rId9" w:tgtFrame="_blank" w:history="1">
              <w:r>
                <w:rPr>
                  <w:rStyle w:val="Hyperlink"/>
                  <w:rFonts w:ascii="Times New Roman" w:eastAsia="Times New Roman" w:hAnsi="Times New Roman" w:cs="Times New Roman"/>
                  <w:color w:val="0563C1"/>
                  <w:sz w:val="20"/>
                  <w:szCs w:val="20"/>
                  <w:shd w:val="clear" w:color="auto" w:fill="FFFFFF"/>
                  <w:lang w:val="en-GB"/>
                </w:rPr>
                <w:t>Flores-Perez, A.E.</w:t>
              </w:r>
            </w:hyperlink>
            <w:r>
              <w:rPr>
                <w:rFonts w:ascii="Times New Roman" w:eastAsia="Times New Roman" w:hAnsi="Times New Roman" w:cs="Times New Roman"/>
                <w:sz w:val="20"/>
                <w:szCs w:val="20"/>
                <w:shd w:val="clear" w:color="auto" w:fill="FFFFFF"/>
                <w:lang w:val="en-GB"/>
              </w:rPr>
              <w:t> (2024), "Industry 4.0, circular economy and sustainability in the food industry: a literature review", </w:t>
            </w:r>
            <w:hyperlink r:id="rId10" w:tgtFrame="_blank" w:history="1">
              <w:r>
                <w:rPr>
                  <w:rStyle w:val="Hyperlink"/>
                  <w:rFonts w:ascii="Times New Roman" w:eastAsia="Times New Roman" w:hAnsi="Times New Roman" w:cs="Times New Roman"/>
                  <w:i/>
                  <w:iCs/>
                  <w:color w:val="007377"/>
                  <w:sz w:val="20"/>
                  <w:szCs w:val="20"/>
                  <w:lang w:val="en-GB"/>
                </w:rPr>
                <w:t>International Journal of Industrial Engineering and Operations Management</w:t>
              </w:r>
            </w:hyperlink>
            <w:r>
              <w:rPr>
                <w:rFonts w:ascii="Times New Roman" w:eastAsia="Times New Roman" w:hAnsi="Times New Roman" w:cs="Times New Roman"/>
                <w:sz w:val="20"/>
                <w:szCs w:val="20"/>
                <w:shd w:val="clear" w:color="auto" w:fill="FFFFFF"/>
                <w:lang w:val="en-GB"/>
              </w:rPr>
              <w:t>, Vol. 6 No. 1, pp. 1-24. </w:t>
            </w:r>
            <w:hyperlink r:id="rId11" w:tgtFrame="_blank" w:history="1">
              <w:r>
                <w:rPr>
                  <w:rStyle w:val="Hyperlink"/>
                  <w:rFonts w:ascii="Times New Roman" w:eastAsia="Times New Roman" w:hAnsi="Times New Roman" w:cs="Times New Roman"/>
                  <w:color w:val="007377"/>
                  <w:sz w:val="20"/>
                  <w:szCs w:val="20"/>
                  <w:shd w:val="clear" w:color="auto" w:fill="FFFFFF"/>
                  <w:lang w:val="en-GB"/>
                </w:rPr>
                <w:t>https://doi.org/10.1108/IJIEOM-12-2022-0071</w:t>
              </w:r>
            </w:hyperlink>
            <w:r>
              <w:rPr>
                <w:rFonts w:ascii="Times New Roman" w:eastAsia="Times New Roman" w:hAnsi="Times New Roman" w:cs="Times New Roman"/>
                <w:sz w:val="20"/>
                <w:szCs w:val="20"/>
              </w:rPr>
              <w:t> </w:t>
            </w:r>
          </w:p>
          <w:p w14:paraId="70836D27" w14:textId="77777777" w:rsidR="00CA52A1" w:rsidRDefault="00CA52A1" w:rsidP="001669AD">
            <w:pPr>
              <w:numPr>
                <w:ilvl w:val="0"/>
                <w:numId w:val="27"/>
              </w:numPr>
              <w:spacing w:after="0" w:line="240" w:lineRule="auto"/>
              <w:ind w:left="360" w:firstLine="0"/>
              <w:jc w:val="both"/>
              <w:textAlignment w:val="baseline"/>
              <w:rPr>
                <w:rFonts w:ascii="Times New Roman" w:eastAsia="Times New Roman" w:hAnsi="Times New Roman" w:cs="Times New Roman"/>
                <w:sz w:val="20"/>
                <w:szCs w:val="20"/>
              </w:rPr>
            </w:pPr>
            <w:hyperlink r:id="rId12" w:tgtFrame="_blank" w:history="1">
              <w:r>
                <w:rPr>
                  <w:rStyle w:val="Hyperlink"/>
                  <w:rFonts w:ascii="Times New Roman" w:eastAsia="Times New Roman" w:hAnsi="Times New Roman" w:cs="Times New Roman"/>
                  <w:color w:val="0563C1"/>
                  <w:sz w:val="20"/>
                  <w:szCs w:val="20"/>
                  <w:shd w:val="clear" w:color="auto" w:fill="FFFFFF"/>
                  <w:lang w:val="en-GB"/>
                </w:rPr>
                <w:t>Panetti, E.</w:t>
              </w:r>
            </w:hyperlink>
            <w:r>
              <w:rPr>
                <w:rFonts w:ascii="Times New Roman" w:eastAsia="Times New Roman" w:hAnsi="Times New Roman" w:cs="Times New Roman"/>
                <w:sz w:val="20"/>
                <w:szCs w:val="20"/>
                <w:shd w:val="clear" w:color="auto" w:fill="FFFFFF"/>
                <w:lang w:val="en-GB"/>
              </w:rPr>
              <w:t>, </w:t>
            </w:r>
            <w:hyperlink r:id="rId13" w:tgtFrame="_blank" w:history="1">
              <w:r>
                <w:rPr>
                  <w:rStyle w:val="Hyperlink"/>
                  <w:rFonts w:ascii="Times New Roman" w:eastAsia="Times New Roman" w:hAnsi="Times New Roman" w:cs="Times New Roman"/>
                  <w:color w:val="0563C1"/>
                  <w:sz w:val="20"/>
                  <w:szCs w:val="20"/>
                  <w:shd w:val="clear" w:color="auto" w:fill="FFFFFF"/>
                  <w:lang w:val="en-GB"/>
                </w:rPr>
                <w:t>Leone, D.</w:t>
              </w:r>
            </w:hyperlink>
            <w:r>
              <w:rPr>
                <w:rFonts w:ascii="Times New Roman" w:eastAsia="Times New Roman" w:hAnsi="Times New Roman" w:cs="Times New Roman"/>
                <w:sz w:val="20"/>
                <w:szCs w:val="20"/>
                <w:shd w:val="clear" w:color="auto" w:fill="FFFFFF"/>
                <w:lang w:val="en-GB"/>
              </w:rPr>
              <w:t>, </w:t>
            </w:r>
            <w:hyperlink r:id="rId14" w:tgtFrame="_blank" w:history="1">
              <w:r>
                <w:rPr>
                  <w:rStyle w:val="Hyperlink"/>
                  <w:rFonts w:ascii="Times New Roman" w:eastAsia="Times New Roman" w:hAnsi="Times New Roman" w:cs="Times New Roman"/>
                  <w:color w:val="0563C1"/>
                  <w:sz w:val="20"/>
                  <w:szCs w:val="20"/>
                  <w:shd w:val="clear" w:color="auto" w:fill="FFFFFF"/>
                  <w:lang w:val="en-GB"/>
                </w:rPr>
                <w:t>Caporuscio, A.</w:t>
              </w:r>
            </w:hyperlink>
            <w:r>
              <w:rPr>
                <w:rFonts w:ascii="Times New Roman" w:eastAsia="Times New Roman" w:hAnsi="Times New Roman" w:cs="Times New Roman"/>
                <w:sz w:val="20"/>
                <w:szCs w:val="20"/>
                <w:shd w:val="clear" w:color="auto" w:fill="FFFFFF"/>
                <w:lang w:val="en-GB"/>
              </w:rPr>
              <w:t> and </w:t>
            </w:r>
            <w:hyperlink r:id="rId15" w:tgtFrame="_blank" w:history="1">
              <w:r>
                <w:rPr>
                  <w:rStyle w:val="Hyperlink"/>
                  <w:rFonts w:ascii="Times New Roman" w:eastAsia="Times New Roman" w:hAnsi="Times New Roman" w:cs="Times New Roman"/>
                  <w:color w:val="0563C1"/>
                  <w:sz w:val="20"/>
                  <w:szCs w:val="20"/>
                  <w:shd w:val="clear" w:color="auto" w:fill="FFFFFF"/>
                  <w:lang w:val="en-GB"/>
                </w:rPr>
                <w:t>Pietronudo, M.C.</w:t>
              </w:r>
            </w:hyperlink>
            <w:r>
              <w:rPr>
                <w:rFonts w:ascii="Times New Roman" w:eastAsia="Times New Roman" w:hAnsi="Times New Roman" w:cs="Times New Roman"/>
                <w:sz w:val="20"/>
                <w:szCs w:val="20"/>
                <w:shd w:val="clear" w:color="auto" w:fill="FFFFFF"/>
                <w:lang w:val="en-GB"/>
              </w:rPr>
              <w:t> (2023), "Revealing future trajectories in sustainable food production: convergence and openness in the innovation ecosystem", </w:t>
            </w:r>
            <w:hyperlink r:id="rId16" w:tgtFrame="_blank" w:history="1">
              <w:r>
                <w:rPr>
                  <w:rStyle w:val="Hyperlink"/>
                  <w:rFonts w:ascii="Times New Roman" w:eastAsia="Times New Roman" w:hAnsi="Times New Roman" w:cs="Times New Roman"/>
                  <w:i/>
                  <w:iCs/>
                  <w:color w:val="007377"/>
                  <w:sz w:val="20"/>
                  <w:szCs w:val="20"/>
                  <w:lang w:val="en-GB"/>
                </w:rPr>
                <w:t>British Food Journal</w:t>
              </w:r>
            </w:hyperlink>
            <w:r>
              <w:rPr>
                <w:rFonts w:ascii="Times New Roman" w:eastAsia="Times New Roman" w:hAnsi="Times New Roman" w:cs="Times New Roman"/>
                <w:sz w:val="20"/>
                <w:szCs w:val="20"/>
                <w:shd w:val="clear" w:color="auto" w:fill="FFFFFF"/>
                <w:lang w:val="en-GB"/>
              </w:rPr>
              <w:t>, Vol. 125 No. 12, pp. 4291-4306. </w:t>
            </w:r>
            <w:hyperlink r:id="rId17" w:tgtFrame="_blank" w:history="1">
              <w:r>
                <w:rPr>
                  <w:rStyle w:val="Hyperlink"/>
                  <w:rFonts w:ascii="Times New Roman" w:eastAsia="Times New Roman" w:hAnsi="Times New Roman" w:cs="Times New Roman"/>
                  <w:color w:val="007377"/>
                  <w:sz w:val="20"/>
                  <w:szCs w:val="20"/>
                  <w:shd w:val="clear" w:color="auto" w:fill="FFFFFF"/>
                  <w:lang w:val="en-GB"/>
                </w:rPr>
                <w:t>https://doi.org/10.1108/BFJ-07-2022-0633</w:t>
              </w:r>
            </w:hyperlink>
            <w:r>
              <w:rPr>
                <w:rFonts w:ascii="Times New Roman" w:eastAsia="Times New Roman" w:hAnsi="Times New Roman" w:cs="Times New Roman"/>
                <w:sz w:val="20"/>
                <w:szCs w:val="20"/>
              </w:rPr>
              <w:t> </w:t>
            </w:r>
          </w:p>
          <w:p w14:paraId="7CFF5232" w14:textId="77777777" w:rsidR="00CA52A1" w:rsidRDefault="00CA52A1" w:rsidP="001669AD">
            <w:pPr>
              <w:numPr>
                <w:ilvl w:val="0"/>
                <w:numId w:val="27"/>
              </w:numPr>
              <w:spacing w:after="0" w:line="240" w:lineRule="auto"/>
              <w:ind w:left="36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Daniel A. Sumner, Julian M. Alson, and Joseph W. Glauber (2010). "Evolution of the Economics of Agricultural Policy", </w:t>
            </w:r>
            <w:hyperlink r:id="rId18" w:tgtFrame="_blank" w:history="1">
              <w:r>
                <w:rPr>
                  <w:rStyle w:val="Hyperlink"/>
                  <w:rFonts w:ascii="Times New Roman" w:eastAsia="Times New Roman" w:hAnsi="Times New Roman" w:cs="Times New Roman"/>
                  <w:i/>
                  <w:iCs/>
                  <w:color w:val="0563C1"/>
                  <w:sz w:val="20"/>
                  <w:szCs w:val="20"/>
                </w:rPr>
                <w:t>American Journal of Agricultural Economics</w:t>
              </w:r>
            </w:hyperlink>
            <w:r>
              <w:rPr>
                <w:rFonts w:ascii="Times New Roman" w:eastAsia="Times New Roman" w:hAnsi="Times New Roman" w:cs="Times New Roman"/>
                <w:sz w:val="20"/>
                <w:szCs w:val="20"/>
              </w:rPr>
              <w:t>, v. 92, pp. 403-423. </w:t>
            </w:r>
          </w:p>
          <w:p w14:paraId="6A01510E" w14:textId="77777777" w:rsidR="00CA52A1" w:rsidRDefault="00CA52A1" w:rsidP="001669AD">
            <w:pPr>
              <w:numPr>
                <w:ilvl w:val="0"/>
                <w:numId w:val="27"/>
              </w:numPr>
              <w:spacing w:after="0" w:line="240" w:lineRule="auto"/>
              <w:ind w:left="360" w:firstLine="0"/>
              <w:jc w:val="both"/>
              <w:textAlignment w:val="baseline"/>
              <w:rPr>
                <w:rFonts w:ascii="Times New Roman" w:eastAsia="Times New Roman" w:hAnsi="Times New Roman" w:cs="Times New Roman"/>
                <w:sz w:val="20"/>
                <w:szCs w:val="20"/>
              </w:rPr>
            </w:pPr>
            <w:hyperlink r:id="rId19" w:tgtFrame="_blank" w:history="1">
              <w:r>
                <w:rPr>
                  <w:rStyle w:val="Hyperlink"/>
                  <w:rFonts w:ascii="Times New Roman" w:eastAsia="Times New Roman" w:hAnsi="Times New Roman" w:cs="Times New Roman"/>
                  <w:color w:val="0563C1"/>
                  <w:sz w:val="20"/>
                  <w:szCs w:val="20"/>
                </w:rPr>
                <w:t>"Farm Animal Welfare Council"</w:t>
              </w:r>
            </w:hyperlink>
            <w:r>
              <w:rPr>
                <w:rFonts w:ascii="Times New Roman" w:eastAsia="Times New Roman" w:hAnsi="Times New Roman" w:cs="Times New Roman"/>
                <w:i/>
                <w:iCs/>
                <w:sz w:val="20"/>
                <w:szCs w:val="20"/>
              </w:rPr>
              <w:t>. Archived from </w:t>
            </w:r>
            <w:hyperlink r:id="rId20" w:tgtFrame="_blank" w:history="1">
              <w:r>
                <w:rPr>
                  <w:rStyle w:val="Hyperlink"/>
                  <w:rFonts w:ascii="Times New Roman" w:eastAsia="Times New Roman" w:hAnsi="Times New Roman" w:cs="Times New Roman"/>
                  <w:color w:val="0563C1"/>
                  <w:sz w:val="20"/>
                  <w:szCs w:val="20"/>
                </w:rPr>
                <w:t>the original</w:t>
              </w:r>
            </w:hyperlink>
            <w:r>
              <w:rPr>
                <w:rFonts w:ascii="Times New Roman" w:eastAsia="Times New Roman" w:hAnsi="Times New Roman" w:cs="Times New Roman"/>
                <w:i/>
                <w:iCs/>
                <w:sz w:val="20"/>
                <w:szCs w:val="20"/>
              </w:rPr>
              <w:t> on November 3, 2013;</w:t>
            </w:r>
            <w:r>
              <w:rPr>
                <w:rFonts w:ascii="Times New Roman" w:eastAsia="Times New Roman" w:hAnsi="Times New Roman" w:cs="Times New Roman"/>
                <w:sz w:val="20"/>
                <w:szCs w:val="20"/>
              </w:rPr>
              <w:t> </w:t>
            </w:r>
          </w:p>
          <w:p w14:paraId="4F8F80E5" w14:textId="77777777" w:rsidR="00CA52A1" w:rsidRDefault="00CA52A1" w:rsidP="001669AD">
            <w:pPr>
              <w:numPr>
                <w:ilvl w:val="0"/>
                <w:numId w:val="27"/>
              </w:numPr>
              <w:spacing w:after="0" w:line="240" w:lineRule="auto"/>
              <w:ind w:left="360" w:firstLine="0"/>
              <w:jc w:val="both"/>
              <w:textAlignment w:val="baseline"/>
              <w:rPr>
                <w:rFonts w:ascii="Times New Roman" w:eastAsia="Times New Roman" w:hAnsi="Times New Roman" w:cs="Times New Roman"/>
                <w:sz w:val="20"/>
                <w:szCs w:val="20"/>
              </w:rPr>
            </w:pPr>
            <w:hyperlink r:id="rId21" w:tgtFrame="_blank" w:history="1">
              <w:r>
                <w:rPr>
                  <w:rStyle w:val="Hyperlink"/>
                  <w:rFonts w:ascii="Times New Roman" w:eastAsia="Times New Roman" w:hAnsi="Times New Roman" w:cs="Times New Roman"/>
                  <w:color w:val="0563C1"/>
                  <w:sz w:val="20"/>
                  <w:szCs w:val="20"/>
                </w:rPr>
                <w:t>"Factory Farming: The Impact of Animal Feeding Operations on the Environment and Health of Local Communities"</w:t>
              </w:r>
            </w:hyperlink>
            <w:r>
              <w:rPr>
                <w:rFonts w:ascii="Times New Roman" w:eastAsia="Times New Roman" w:hAnsi="Times New Roman" w:cs="Times New Roman"/>
                <w:i/>
                <w:iCs/>
                <w:sz w:val="20"/>
                <w:szCs w:val="20"/>
              </w:rPr>
              <w:t>. Retrieved December 13, 2009.</w:t>
            </w:r>
            <w:r>
              <w:rPr>
                <w:rFonts w:ascii="Times New Roman" w:eastAsia="Times New Roman" w:hAnsi="Times New Roman" w:cs="Times New Roman"/>
                <w:sz w:val="20"/>
                <w:szCs w:val="20"/>
              </w:rPr>
              <w:t> </w:t>
            </w:r>
          </w:p>
          <w:p w14:paraId="4F509FDE" w14:textId="77777777" w:rsidR="00CA52A1" w:rsidRDefault="00CA52A1" w:rsidP="001669AD">
            <w:pPr>
              <w:numPr>
                <w:ilvl w:val="0"/>
                <w:numId w:val="27"/>
              </w:numPr>
              <w:spacing w:after="0" w:line="240" w:lineRule="auto"/>
              <w:ind w:left="36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i/>
                <w:iCs/>
                <w:sz w:val="20"/>
                <w:szCs w:val="20"/>
              </w:rPr>
              <w:t>Singh , R Paul; Dennis R. Heldman (2013). </w:t>
            </w:r>
            <w:hyperlink r:id="rId22" w:tgtFrame="_blank" w:history="1">
              <w:r>
                <w:rPr>
                  <w:rStyle w:val="Hyperlink"/>
                  <w:rFonts w:ascii="Times New Roman" w:eastAsia="Times New Roman" w:hAnsi="Times New Roman" w:cs="Times New Roman"/>
                  <w:color w:val="0563C1"/>
                  <w:sz w:val="20"/>
                  <w:szCs w:val="20"/>
                </w:rPr>
                <w:t>Introduction to Food Engineering (5th ed.)</w:t>
              </w:r>
            </w:hyperlink>
            <w:r>
              <w:rPr>
                <w:rFonts w:ascii="Times New Roman" w:eastAsia="Times New Roman" w:hAnsi="Times New Roman" w:cs="Times New Roman"/>
                <w:i/>
                <w:iCs/>
                <w:sz w:val="20"/>
                <w:szCs w:val="20"/>
              </w:rPr>
              <w:t>. </w:t>
            </w:r>
            <w:r>
              <w:rPr>
                <w:rFonts w:ascii="Times New Roman" w:eastAsia="Times New Roman" w:hAnsi="Times New Roman" w:cs="Times New Roman"/>
                <w:sz w:val="20"/>
                <w:szCs w:val="20"/>
              </w:rPr>
              <w:t> </w:t>
            </w:r>
          </w:p>
          <w:p w14:paraId="6311D6D9" w14:textId="77777777" w:rsidR="00CA52A1" w:rsidRDefault="00CA52A1" w:rsidP="001669AD">
            <w:pPr>
              <w:numPr>
                <w:ilvl w:val="0"/>
                <w:numId w:val="27"/>
              </w:numPr>
              <w:spacing w:after="0" w:line="240" w:lineRule="auto"/>
              <w:ind w:left="360" w:firstLine="0"/>
              <w:jc w:val="both"/>
              <w:textAlignment w:val="baseline"/>
              <w:rPr>
                <w:rFonts w:ascii="Times New Roman" w:eastAsia="Times New Roman" w:hAnsi="Times New Roman" w:cs="Times New Roman"/>
                <w:sz w:val="20"/>
                <w:szCs w:val="20"/>
              </w:rPr>
            </w:pPr>
            <w:hyperlink r:id="rId23" w:tgtFrame="_blank" w:history="1">
              <w:r>
                <w:rPr>
                  <w:rStyle w:val="Hyperlink"/>
                  <w:rFonts w:ascii="Times New Roman" w:eastAsia="Times New Roman" w:hAnsi="Times New Roman" w:cs="Times New Roman"/>
                  <w:color w:val="0563C1"/>
                  <w:sz w:val="20"/>
                  <w:szCs w:val="20"/>
                </w:rPr>
                <w:t>"Prevention of foodborne disease: Five keys to safer food"</w:t>
              </w:r>
            </w:hyperlink>
            <w:r>
              <w:rPr>
                <w:rFonts w:ascii="Times New Roman" w:eastAsia="Times New Roman" w:hAnsi="Times New Roman" w:cs="Times New Roman"/>
                <w:i/>
                <w:iCs/>
                <w:sz w:val="20"/>
                <w:szCs w:val="20"/>
              </w:rPr>
              <w:t>. World Health Organisation. Retrieved 10 December 2010</w:t>
            </w:r>
            <w:r>
              <w:rPr>
                <w:rFonts w:ascii="Times New Roman" w:eastAsia="Times New Roman" w:hAnsi="Times New Roman" w:cs="Times New Roman"/>
                <w:sz w:val="20"/>
                <w:szCs w:val="20"/>
              </w:rPr>
              <w:t> </w:t>
            </w:r>
          </w:p>
          <w:p w14:paraId="3E6C1C72" w14:textId="77777777" w:rsidR="00CA52A1" w:rsidRDefault="00CA52A1" w:rsidP="001669AD">
            <w:pPr>
              <w:numPr>
                <w:ilvl w:val="0"/>
                <w:numId w:val="27"/>
              </w:numPr>
              <w:spacing w:after="0" w:line="240" w:lineRule="auto"/>
              <w:ind w:left="36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i/>
                <w:iCs/>
                <w:sz w:val="20"/>
                <w:szCs w:val="20"/>
              </w:rPr>
              <w:t>Herr, M. L.; T. J. Muzira. </w:t>
            </w:r>
            <w:hyperlink r:id="rId24" w:tgtFrame="_blank" w:history="1">
              <w:r>
                <w:rPr>
                  <w:rStyle w:val="Hyperlink"/>
                  <w:rFonts w:ascii="Times New Roman" w:eastAsia="Times New Roman" w:hAnsi="Times New Roman" w:cs="Times New Roman"/>
                  <w:i/>
                  <w:iCs/>
                  <w:color w:val="0563C1"/>
                  <w:sz w:val="20"/>
                  <w:szCs w:val="20"/>
                </w:rPr>
                <w:t>"Value chain development for decent work"</w:t>
              </w:r>
            </w:hyperlink>
            <w:r>
              <w:rPr>
                <w:rFonts w:ascii="Times New Roman" w:eastAsia="Times New Roman" w:hAnsi="Times New Roman" w:cs="Times New Roman"/>
                <w:i/>
                <w:iCs/>
                <w:sz w:val="20"/>
                <w:szCs w:val="20"/>
              </w:rPr>
              <w:t>. </w:t>
            </w:r>
            <w:r>
              <w:rPr>
                <w:rFonts w:ascii="Times New Roman" w:eastAsia="Times New Roman" w:hAnsi="Times New Roman" w:cs="Times New Roman"/>
                <w:sz w:val="20"/>
                <w:szCs w:val="20"/>
              </w:rPr>
              <w:t> </w:t>
            </w:r>
          </w:p>
          <w:p w14:paraId="548C248B" w14:textId="77777777" w:rsidR="00CA52A1" w:rsidRDefault="00CA52A1" w:rsidP="001669AD">
            <w:pPr>
              <w:numPr>
                <w:ilvl w:val="0"/>
                <w:numId w:val="27"/>
              </w:numPr>
              <w:spacing w:after="0" w:line="240" w:lineRule="auto"/>
              <w:ind w:left="360" w:firstLine="0"/>
              <w:jc w:val="both"/>
              <w:textAlignment w:val="baseline"/>
              <w:rPr>
                <w:rFonts w:ascii="Times New Roman" w:eastAsia="Times New Roman" w:hAnsi="Times New Roman" w:cs="Times New Roman"/>
                <w:sz w:val="20"/>
                <w:szCs w:val="20"/>
              </w:rPr>
            </w:pPr>
            <w:hyperlink r:id="rId25" w:tgtFrame="_blank" w:history="1">
              <w:r>
                <w:rPr>
                  <w:rStyle w:val="Hyperlink"/>
                  <w:rFonts w:ascii="Times New Roman" w:eastAsia="Times New Roman" w:hAnsi="Times New Roman" w:cs="Times New Roman"/>
                  <w:color w:val="0563C1"/>
                  <w:sz w:val="20"/>
                  <w:szCs w:val="20"/>
                </w:rPr>
                <w:t>"Agricultural Diversification and Market Development Bureau"</w:t>
              </w:r>
            </w:hyperlink>
            <w:r>
              <w:rPr>
                <w:rFonts w:ascii="Times New Roman" w:eastAsia="Times New Roman" w:hAnsi="Times New Roman" w:cs="Times New Roman"/>
                <w:i/>
                <w:iCs/>
                <w:sz w:val="20"/>
                <w:szCs w:val="20"/>
              </w:rPr>
              <w:t>. Iowa Department of Agriculture and Land Stewardship;</w:t>
            </w:r>
            <w:hyperlink r:id="rId26" w:tgtFrame="_blank" w:history="1">
              <w:r>
                <w:rPr>
                  <w:rStyle w:val="Hyperlink"/>
                  <w:rFonts w:ascii="Times New Roman" w:eastAsia="Times New Roman" w:hAnsi="Times New Roman" w:cs="Times New Roman"/>
                  <w:color w:val="0563C1"/>
                  <w:sz w:val="20"/>
                  <w:szCs w:val="20"/>
                </w:rPr>
                <w:t> </w:t>
              </w:r>
            </w:hyperlink>
            <w:r>
              <w:rPr>
                <w:rFonts w:ascii="Times New Roman" w:eastAsia="Times New Roman" w:hAnsi="Times New Roman" w:cs="Times New Roman"/>
                <w:sz w:val="20"/>
                <w:szCs w:val="20"/>
              </w:rPr>
              <w:t> </w:t>
            </w:r>
          </w:p>
          <w:p w14:paraId="1F62CE40" w14:textId="77777777" w:rsidR="00CA52A1" w:rsidRDefault="00CA52A1" w:rsidP="001669AD">
            <w:pPr>
              <w:numPr>
                <w:ilvl w:val="0"/>
                <w:numId w:val="27"/>
              </w:numPr>
              <w:spacing w:after="0" w:line="240" w:lineRule="auto"/>
              <w:ind w:left="360" w:firstLine="0"/>
              <w:jc w:val="both"/>
              <w:textAlignment w:val="baseline"/>
              <w:rPr>
                <w:rFonts w:ascii="Times New Roman" w:eastAsia="Times New Roman" w:hAnsi="Times New Roman" w:cs="Times New Roman"/>
                <w:sz w:val="20"/>
                <w:szCs w:val="20"/>
              </w:rPr>
            </w:pPr>
            <w:hyperlink r:id="rId27" w:tgtFrame="_blank" w:history="1">
              <w:r>
                <w:rPr>
                  <w:rStyle w:val="Hyperlink"/>
                  <w:rFonts w:ascii="Times New Roman" w:eastAsia="Times New Roman" w:hAnsi="Times New Roman" w:cs="Times New Roman"/>
                  <w:color w:val="0563C1"/>
                  <w:sz w:val="20"/>
                  <w:szCs w:val="20"/>
                </w:rPr>
                <w:t>"What is Marketing Environment? definition and meaning – Business Jargons"</w:t>
              </w:r>
            </w:hyperlink>
            <w:r>
              <w:rPr>
                <w:rFonts w:ascii="Times New Roman" w:eastAsia="Times New Roman" w:hAnsi="Times New Roman" w:cs="Times New Roman"/>
                <w:i/>
                <w:iCs/>
                <w:sz w:val="20"/>
                <w:szCs w:val="20"/>
              </w:rPr>
              <w:t>. Business Jargons. 25 August 2015. </w:t>
            </w:r>
            <w:r>
              <w:rPr>
                <w:rFonts w:ascii="Times New Roman" w:eastAsia="Times New Roman" w:hAnsi="Times New Roman" w:cs="Times New Roman"/>
                <w:sz w:val="20"/>
                <w:szCs w:val="20"/>
              </w:rPr>
              <w:t> </w:t>
            </w:r>
          </w:p>
          <w:p w14:paraId="2C8F3A5A" w14:textId="77777777" w:rsidR="00CA52A1" w:rsidRDefault="00CA52A1" w:rsidP="001669AD">
            <w:pPr>
              <w:numPr>
                <w:ilvl w:val="0"/>
                <w:numId w:val="27"/>
              </w:numPr>
              <w:spacing w:after="0" w:line="240" w:lineRule="auto"/>
              <w:ind w:left="36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Sustainable Supply Chain Management in the Food Industry: A Conceptual Model from a Literature Review and a Case Study Theofilos Mastos * and Katerina Gotzamani, Foods 2022. </w:t>
            </w:r>
          </w:p>
          <w:p w14:paraId="0DBE6504" w14:textId="77777777" w:rsidR="00CA52A1" w:rsidRDefault="00CA52A1" w:rsidP="001669AD">
            <w:pPr>
              <w:numPr>
                <w:ilvl w:val="0"/>
                <w:numId w:val="27"/>
              </w:numPr>
              <w:spacing w:after="0" w:line="240" w:lineRule="auto"/>
              <w:ind w:left="360" w:firstLine="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shd w:val="clear" w:color="auto" w:fill="FFFFFF"/>
              </w:rPr>
              <w:t xml:space="preserve">“Food Supply Chain Management”, </w:t>
            </w:r>
            <w:hyperlink r:id="rId28" w:tgtFrame="_blank" w:history="1">
              <w:r>
                <w:rPr>
                  <w:rStyle w:val="Hyperlink"/>
                  <w:rFonts w:ascii="Times New Roman" w:eastAsia="Times New Roman" w:hAnsi="Times New Roman" w:cs="Times New Roman"/>
                  <w:color w:val="auto"/>
                  <w:sz w:val="20"/>
                  <w:szCs w:val="20"/>
                  <w:u w:val="none"/>
                  <w:shd w:val="clear" w:color="auto" w:fill="FFFFFF"/>
                </w:rPr>
                <w:t>Madeleine Pullman</w:t>
              </w:r>
            </w:hyperlink>
            <w:r>
              <w:rPr>
                <w:rFonts w:ascii="Times New Roman" w:eastAsia="Times New Roman" w:hAnsi="Times New Roman" w:cs="Times New Roman"/>
                <w:sz w:val="20"/>
                <w:szCs w:val="20"/>
                <w:shd w:val="clear" w:color="auto" w:fill="FFFFFF"/>
              </w:rPr>
              <w:t>, </w:t>
            </w:r>
            <w:hyperlink r:id="rId29" w:tgtFrame="_blank" w:history="1">
              <w:r>
                <w:rPr>
                  <w:rStyle w:val="Hyperlink"/>
                  <w:rFonts w:ascii="Times New Roman" w:eastAsia="Times New Roman" w:hAnsi="Times New Roman" w:cs="Times New Roman"/>
                  <w:color w:val="auto"/>
                  <w:sz w:val="20"/>
                  <w:szCs w:val="20"/>
                  <w:u w:val="none"/>
                  <w:shd w:val="clear" w:color="auto" w:fill="FFFFFF"/>
                </w:rPr>
                <w:t>Zhaohui Wu</w:t>
              </w:r>
            </w:hyperlink>
            <w:r>
              <w:rPr>
                <w:rFonts w:ascii="Times New Roman" w:eastAsia="Times New Roman" w:hAnsi="Times New Roman" w:cs="Times New Roman"/>
                <w:sz w:val="20"/>
                <w:szCs w:val="20"/>
              </w:rPr>
              <w:t xml:space="preserve">, </w:t>
            </w:r>
            <w:hyperlink r:id="rId30" w:tgtFrame="_blank" w:history="1">
              <w:r>
                <w:rPr>
                  <w:rStyle w:val="Hyperlink"/>
                  <w:rFonts w:ascii="Times New Roman" w:eastAsia="Times New Roman" w:hAnsi="Times New Roman" w:cs="Times New Roman"/>
                  <w:color w:val="auto"/>
                  <w:sz w:val="20"/>
                  <w:szCs w:val="20"/>
                  <w:u w:val="none"/>
                  <w:shd w:val="clear" w:color="auto" w:fill="FFFFFF"/>
                </w:rPr>
                <w:t>taylorandfrancis.com</w:t>
              </w:r>
            </w:hyperlink>
            <w:r>
              <w:rPr>
                <w:rFonts w:ascii="Times New Roman" w:eastAsia="Times New Roman" w:hAnsi="Times New Roman" w:cs="Times New Roman"/>
                <w:sz w:val="20"/>
                <w:szCs w:val="20"/>
              </w:rPr>
              <w:t xml:space="preserve"> 2021 </w:t>
            </w:r>
          </w:p>
          <w:p w14:paraId="5C360785" w14:textId="77777777" w:rsidR="00CA52A1" w:rsidRDefault="00CA52A1">
            <w:pPr>
              <w:spacing w:after="0" w:line="240" w:lineRule="auto"/>
              <w:ind w:left="720"/>
              <w:textAlignment w:val="baseline"/>
              <w:rPr>
                <w:rFonts w:ascii="Segoe UI" w:eastAsia="Times New Roman" w:hAnsi="Segoe UI" w:cs="Segoe UI"/>
                <w:color w:val="000000"/>
                <w:sz w:val="18"/>
                <w:szCs w:val="18"/>
              </w:rPr>
            </w:pPr>
            <w:r>
              <w:rPr>
                <w:rFonts w:ascii="Times New Roman" w:eastAsia="Times New Roman" w:hAnsi="Times New Roman" w:cs="Times New Roman"/>
                <w:color w:val="000000"/>
                <w:sz w:val="20"/>
                <w:szCs w:val="20"/>
              </w:rPr>
              <w:t> </w:t>
            </w:r>
          </w:p>
        </w:tc>
      </w:tr>
      <w:tr w:rsidR="00CA52A1" w14:paraId="76BF0F3B" w14:textId="77777777" w:rsidTr="00CA52A1">
        <w:trPr>
          <w:trHeight w:val="300"/>
        </w:trPr>
        <w:tc>
          <w:tcPr>
            <w:tcW w:w="2966" w:type="dxa"/>
            <w:tcBorders>
              <w:top w:val="single" w:sz="6" w:space="0" w:color="7F7F7F"/>
              <w:left w:val="single" w:sz="6" w:space="0" w:color="7F7F7F"/>
              <w:bottom w:val="single" w:sz="6" w:space="0" w:color="7F7F7F"/>
              <w:right w:val="nil"/>
            </w:tcBorders>
            <w:shd w:val="clear" w:color="auto" w:fill="D9E2F3"/>
            <w:vAlign w:val="center"/>
            <w:hideMark/>
          </w:tcPr>
          <w:p w14:paraId="567894BF" w14:textId="77777777" w:rsidR="00CA52A1" w:rsidRDefault="00CA52A1">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rPr>
              <w:t>Kontakti </w:t>
            </w:r>
          </w:p>
        </w:tc>
        <w:tc>
          <w:tcPr>
            <w:tcW w:w="6378" w:type="dxa"/>
            <w:gridSpan w:val="4"/>
            <w:tcBorders>
              <w:top w:val="single" w:sz="6" w:space="0" w:color="7F7F7F"/>
              <w:left w:val="nil"/>
              <w:bottom w:val="single" w:sz="6" w:space="0" w:color="7F7F7F"/>
              <w:right w:val="single" w:sz="6" w:space="0" w:color="7F7F7F"/>
            </w:tcBorders>
            <w:vAlign w:val="center"/>
            <w:hideMark/>
          </w:tcPr>
          <w:p w14:paraId="6AEF3B33" w14:textId="77777777" w:rsidR="00CA52A1" w:rsidRDefault="00CA52A1">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u w:val="single"/>
              </w:rPr>
              <w:t>Fissnik.shaqiri@ubt-uni.net</w:t>
            </w:r>
            <w:r>
              <w:rPr>
                <w:rFonts w:ascii="Times New Roman" w:eastAsia="Times New Roman" w:hAnsi="Times New Roman" w:cs="Times New Roman"/>
                <w:color w:val="000000"/>
                <w:sz w:val="20"/>
                <w:szCs w:val="20"/>
              </w:rPr>
              <w:t> </w:t>
            </w:r>
          </w:p>
        </w:tc>
      </w:tr>
    </w:tbl>
    <w:p w14:paraId="7B631065" w14:textId="77777777" w:rsidR="002F71EA" w:rsidRDefault="002F71EA"/>
    <w:sectPr w:rsidR="002F7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7398E"/>
    <w:multiLevelType w:val="multilevel"/>
    <w:tmpl w:val="8364238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99B2674"/>
    <w:multiLevelType w:val="multilevel"/>
    <w:tmpl w:val="E81297B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B5A29D3"/>
    <w:multiLevelType w:val="multilevel"/>
    <w:tmpl w:val="658041B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E6B61F4"/>
    <w:multiLevelType w:val="multilevel"/>
    <w:tmpl w:val="0DD2713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4675F8F"/>
    <w:multiLevelType w:val="multilevel"/>
    <w:tmpl w:val="76D4429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5F93402"/>
    <w:multiLevelType w:val="multilevel"/>
    <w:tmpl w:val="C128B46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CEF33BB"/>
    <w:multiLevelType w:val="multilevel"/>
    <w:tmpl w:val="9BB87E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3C0D29"/>
    <w:multiLevelType w:val="multilevel"/>
    <w:tmpl w:val="4156FBA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E8F191A"/>
    <w:multiLevelType w:val="multilevel"/>
    <w:tmpl w:val="7604FC00"/>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EB947B8"/>
    <w:multiLevelType w:val="multilevel"/>
    <w:tmpl w:val="2E20D2A0"/>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83A6385"/>
    <w:multiLevelType w:val="multilevel"/>
    <w:tmpl w:val="66CC14F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FA3423E"/>
    <w:multiLevelType w:val="multilevel"/>
    <w:tmpl w:val="2D64DA2E"/>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6A34525"/>
    <w:multiLevelType w:val="multilevel"/>
    <w:tmpl w:val="E1366E7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9AE018B"/>
    <w:multiLevelType w:val="multilevel"/>
    <w:tmpl w:val="A8B0F2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E0E67B1"/>
    <w:multiLevelType w:val="multilevel"/>
    <w:tmpl w:val="6CBE148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6390E67"/>
    <w:multiLevelType w:val="multilevel"/>
    <w:tmpl w:val="4C6661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A46776B"/>
    <w:multiLevelType w:val="multilevel"/>
    <w:tmpl w:val="0810CE2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BB618D4"/>
    <w:multiLevelType w:val="multilevel"/>
    <w:tmpl w:val="743A707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C19060D"/>
    <w:multiLevelType w:val="multilevel"/>
    <w:tmpl w:val="81EC9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04173CC"/>
    <w:multiLevelType w:val="multilevel"/>
    <w:tmpl w:val="5A12EC18"/>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38362BF"/>
    <w:multiLevelType w:val="multilevel"/>
    <w:tmpl w:val="010A375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48E60BB"/>
    <w:multiLevelType w:val="multilevel"/>
    <w:tmpl w:val="7794D01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95D6F00"/>
    <w:multiLevelType w:val="multilevel"/>
    <w:tmpl w:val="59BE4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E6575B1"/>
    <w:multiLevelType w:val="multilevel"/>
    <w:tmpl w:val="9362ABBE"/>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B9E208F"/>
    <w:multiLevelType w:val="multilevel"/>
    <w:tmpl w:val="A94C43C0"/>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D3E14EC"/>
    <w:multiLevelType w:val="multilevel"/>
    <w:tmpl w:val="BCA46E42"/>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E6822DB"/>
    <w:multiLevelType w:val="multilevel"/>
    <w:tmpl w:val="D1289B0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456605267">
    <w:abstractNumId w:val="6"/>
    <w:lvlOverride w:ilvl="0"/>
    <w:lvlOverride w:ilvl="1"/>
    <w:lvlOverride w:ilvl="2"/>
    <w:lvlOverride w:ilvl="3"/>
    <w:lvlOverride w:ilvl="4"/>
    <w:lvlOverride w:ilvl="5"/>
    <w:lvlOverride w:ilvl="6"/>
    <w:lvlOverride w:ilvl="7"/>
    <w:lvlOverride w:ilvl="8"/>
  </w:num>
  <w:num w:numId="2" w16cid:durableId="60812209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1168415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5724337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1971055">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28259149">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4288954">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461112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247609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1732233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18696991">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534063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090109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8619545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32649498">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88632162">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27498869">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10350761">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46526923">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75854888">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38107986">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80899095">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58826167">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32219920">
    <w:abstractNumId w:val="2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32577198">
    <w:abstractNumId w:val="2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53474849">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80713706">
    <w:abstractNumId w:val="2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6BF"/>
    <w:rsid w:val="002F71EA"/>
    <w:rsid w:val="007816BF"/>
    <w:rsid w:val="00CA52A1"/>
    <w:rsid w:val="00F140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EA2C4D-04BF-4698-9365-58A12B84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2A1"/>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52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362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erald.com/insight/search?q=Martin%20Fidel%20Collao-Diaz" TargetMode="External"/><Relationship Id="rId13" Type="http://schemas.openxmlformats.org/officeDocument/2006/relationships/hyperlink" Target="https://www.emerald.com/insight/search?q=Daniele%20Leone" TargetMode="External"/><Relationship Id="rId18" Type="http://schemas.openxmlformats.org/officeDocument/2006/relationships/hyperlink" Target="https://en.wikipedia.org/wiki/American_Journal_of_Agricultural_Economics" TargetMode="External"/><Relationship Id="rId26" Type="http://schemas.openxmlformats.org/officeDocument/2006/relationships/hyperlink" Target="http://businessjargons.com/marketing-environment.html" TargetMode="External"/><Relationship Id="rId3" Type="http://schemas.openxmlformats.org/officeDocument/2006/relationships/settings" Target="settings.xml"/><Relationship Id="rId21" Type="http://schemas.openxmlformats.org/officeDocument/2006/relationships/hyperlink" Target="https://www.cdc.gov/nceh/conference/2006_conference/abstracts/session_D1.html" TargetMode="External"/><Relationship Id="rId7" Type="http://schemas.openxmlformats.org/officeDocument/2006/relationships/hyperlink" Target="https://www.emerald.com/insight/search?q=Edisson%20Andree%20Zegarra-Aguinaga" TargetMode="External"/><Relationship Id="rId12" Type="http://schemas.openxmlformats.org/officeDocument/2006/relationships/hyperlink" Target="https://www.emerald.com/insight/search?q=Eva%20Panetti" TargetMode="External"/><Relationship Id="rId17" Type="http://schemas.openxmlformats.org/officeDocument/2006/relationships/hyperlink" Target="https://doi.org/10.1108/BFJ-07-2022-0633" TargetMode="External"/><Relationship Id="rId25" Type="http://schemas.openxmlformats.org/officeDocument/2006/relationships/hyperlink" Target="https://web.archive.org/web/20091214002244/http:/www.agriculture.state.ia.us/agDiversification.asp" TargetMode="External"/><Relationship Id="rId2" Type="http://schemas.openxmlformats.org/officeDocument/2006/relationships/styles" Target="styles.xml"/><Relationship Id="rId16" Type="http://schemas.openxmlformats.org/officeDocument/2006/relationships/hyperlink" Target="https://www.emerald.com/insight/publication/issn/0007-070X" TargetMode="External"/><Relationship Id="rId20" Type="http://schemas.openxmlformats.org/officeDocument/2006/relationships/hyperlink" Target="http://www.fawc.org.uk/default.htm" TargetMode="External"/><Relationship Id="rId29" Type="http://schemas.openxmlformats.org/officeDocument/2006/relationships/hyperlink" Target="https://www.google.com/search?hl=en&amp;sxsrf=AJOqlzXaMzdqZn21sUYjbVwBEYhp03siAQ:1678286133396&amp;q=inauthor:%22Zhaohui+Wu%22&amp;tbm=bks" TargetMode="External"/><Relationship Id="rId1" Type="http://schemas.openxmlformats.org/officeDocument/2006/relationships/numbering" Target="numbering.xml"/><Relationship Id="rId6" Type="http://schemas.openxmlformats.org/officeDocument/2006/relationships/hyperlink" Target="https://www.emerald.com/insight/search?q=Renato%20Jose%20Aguado-Rodriguez" TargetMode="External"/><Relationship Id="rId11" Type="http://schemas.openxmlformats.org/officeDocument/2006/relationships/hyperlink" Target="https://doi.org/10.1108/IJIEOM-12-2022-0071" TargetMode="External"/><Relationship Id="rId24" Type="http://schemas.openxmlformats.org/officeDocument/2006/relationships/hyperlink" Target="https://web.archive.org/web/20130513123705/http:/www.ilo.org/empent/areas/value-chain-development-vcd/WCMS_115490/lang--en/index.htm" TargetMode="External"/><Relationship Id="rId32" Type="http://schemas.openxmlformats.org/officeDocument/2006/relationships/theme" Target="theme/theme1.xml"/><Relationship Id="rId5" Type="http://schemas.openxmlformats.org/officeDocument/2006/relationships/hyperlink" Target="https://www.emerald.com/insight/search?q=Juan%20Carlos%20Quiroz-Flores" TargetMode="External"/><Relationship Id="rId15" Type="http://schemas.openxmlformats.org/officeDocument/2006/relationships/hyperlink" Target="https://www.emerald.com/insight/search?q=Maria%20Cristina%20Pietronudo" TargetMode="External"/><Relationship Id="rId23" Type="http://schemas.openxmlformats.org/officeDocument/2006/relationships/hyperlink" Target="http://www.who.int/foodsafety/consumer/5keys" TargetMode="External"/><Relationship Id="rId28" Type="http://schemas.openxmlformats.org/officeDocument/2006/relationships/hyperlink" Target="https://www.google.com/search?hl=en&amp;sxsrf=AJOqlzXaMzdqZn21sUYjbVwBEYhp03siAQ:1678286133396&amp;q=inauthor:%22Madeleine+Pullman%22&amp;tbm=bks" TargetMode="External"/><Relationship Id="rId10" Type="http://schemas.openxmlformats.org/officeDocument/2006/relationships/hyperlink" Target="https://www.emerald.com/insight/publication/issn/2690-6090" TargetMode="External"/><Relationship Id="rId19" Type="http://schemas.openxmlformats.org/officeDocument/2006/relationships/hyperlink" Target="https://web.archive.org/web/20131103222718/http:/www.fawc.org.uk/Default.ht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merald.com/insight/search?q=Alberto%20Enrique%20Flores-Perez" TargetMode="External"/><Relationship Id="rId14" Type="http://schemas.openxmlformats.org/officeDocument/2006/relationships/hyperlink" Target="https://www.emerald.com/insight/search?q=Andrea%20Caporuscio" TargetMode="External"/><Relationship Id="rId22" Type="http://schemas.openxmlformats.org/officeDocument/2006/relationships/hyperlink" Target="https://books.google.com/books?vid=ISBN0123985307" TargetMode="External"/><Relationship Id="rId27" Type="http://schemas.openxmlformats.org/officeDocument/2006/relationships/hyperlink" Target="http://businessjargons.com/marketing-environment.html" TargetMode="External"/><Relationship Id="rId30" Type="http://schemas.openxmlformats.org/officeDocument/2006/relationships/hyperlink" Target="http://taylorandfranc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1341</Words>
  <Characters>7646</Characters>
  <Application>Microsoft Office Word</Application>
  <DocSecurity>0</DocSecurity>
  <Lines>63</Lines>
  <Paragraphs>17</Paragraphs>
  <ScaleCrop>false</ScaleCrop>
  <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eltis sulejmani</dc:creator>
  <cp:keywords/>
  <dc:description/>
  <cp:lastModifiedBy>eltis sulejmani</cp:lastModifiedBy>
  <cp:revision>2</cp:revision>
  <dcterms:created xsi:type="dcterms:W3CDTF">2024-03-28T12:49:00Z</dcterms:created>
  <dcterms:modified xsi:type="dcterms:W3CDTF">2024-03-28T12:49:00Z</dcterms:modified>
</cp:coreProperties>
</file>