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450" w:type="dxa"/>
        <w:tblInd w:w="0" w:type="dxa"/>
        <w:tblLayout w:type="fixed"/>
        <w:tblLook w:val="04A0" w:firstRow="1" w:lastRow="0" w:firstColumn="1" w:lastColumn="0" w:noHBand="0" w:noVBand="1"/>
      </w:tblPr>
      <w:tblGrid>
        <w:gridCol w:w="2549"/>
        <w:gridCol w:w="2178"/>
        <w:gridCol w:w="2178"/>
        <w:gridCol w:w="2545"/>
      </w:tblGrid>
      <w:tr w:rsidR="00AD77F5" w:rsidRPr="00AD77F5" w14:paraId="0E1AD940" w14:textId="77777777" w:rsidTr="00AD77F5">
        <w:trPr>
          <w:trHeight w:val="275"/>
        </w:trPr>
        <w:tc>
          <w:tcPr>
            <w:tcW w:w="2547"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08367ECB" w14:textId="77777777" w:rsidR="00AD77F5" w:rsidRPr="00AD77F5" w:rsidRDefault="00AD77F5" w:rsidP="00AD77F5">
            <w:pPr>
              <w:spacing w:after="0" w:line="240" w:lineRule="auto"/>
              <w:ind w:left="330"/>
              <w:rPr>
                <w:rFonts w:ascii="Calibri" w:eastAsia="MS Mincho" w:hAnsi="Calibri" w:cs="Arial"/>
                <w:b/>
                <w:kern w:val="0"/>
                <w:lang w:val="sq-AL" w:eastAsia="sq-AL"/>
                <w14:ligatures w14:val="none"/>
              </w:rPr>
            </w:pPr>
            <w:r w:rsidRPr="00AD77F5">
              <w:rPr>
                <w:rFonts w:ascii="Calibri" w:eastAsia="MS Mincho" w:hAnsi="Calibri" w:cs="Arial"/>
                <w:b/>
                <w:kern w:val="0"/>
                <w:lang w:val="sq-AL" w:eastAsia="sq-AL"/>
                <w14:ligatures w14:val="none"/>
              </w:rPr>
              <w:t>Kursi</w:t>
            </w:r>
          </w:p>
          <w:p w14:paraId="2DAAF5EF" w14:textId="77777777" w:rsidR="00AD77F5" w:rsidRPr="00AD77F5" w:rsidRDefault="00AD77F5" w:rsidP="00AD77F5">
            <w:pPr>
              <w:ind w:left="330"/>
              <w:rPr>
                <w:rFonts w:eastAsia="MS Mincho"/>
                <w:b/>
                <w:lang w:val="sq-AL" w:eastAsia="sq-AL"/>
              </w:rPr>
            </w:pPr>
          </w:p>
        </w:tc>
        <w:tc>
          <w:tcPr>
            <w:tcW w:w="6898" w:type="dxa"/>
            <w:gridSpan w:val="3"/>
            <w:tcBorders>
              <w:top w:val="single" w:sz="4" w:space="0" w:color="auto"/>
              <w:left w:val="single" w:sz="4" w:space="0" w:color="auto"/>
              <w:bottom w:val="single" w:sz="4" w:space="0" w:color="auto"/>
              <w:right w:val="single" w:sz="4" w:space="0" w:color="auto"/>
            </w:tcBorders>
            <w:hideMark/>
          </w:tcPr>
          <w:p w14:paraId="12A9908B" w14:textId="77777777" w:rsidR="00AD77F5" w:rsidRPr="00AD77F5" w:rsidRDefault="00AD77F5" w:rsidP="00AD77F5">
            <w:pPr>
              <w:rPr>
                <w:rFonts w:eastAsia="MS Mincho"/>
                <w:b/>
              </w:rPr>
            </w:pPr>
            <w:r w:rsidRPr="00AD77F5">
              <w:rPr>
                <w:rFonts w:eastAsia="MS Mincho"/>
                <w:b/>
              </w:rPr>
              <w:t>USHQIMI SPORTIV</w:t>
            </w:r>
          </w:p>
        </w:tc>
      </w:tr>
      <w:tr w:rsidR="00AD77F5" w:rsidRPr="00AD77F5" w14:paraId="75D933EE" w14:textId="77777777" w:rsidTr="00AD77F5">
        <w:trPr>
          <w:trHeight w:val="3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70D1AEE" w14:textId="77777777" w:rsidR="00AD77F5" w:rsidRPr="00AD77F5" w:rsidRDefault="00AD77F5" w:rsidP="00AD77F5">
            <w:pPr>
              <w:rPr>
                <w:rFonts w:eastAsia="MS Mincho"/>
                <w:b/>
                <w:lang w:val="sq-AL" w:eastAsia="sq-AL"/>
              </w:rPr>
            </w:pPr>
          </w:p>
        </w:tc>
        <w:tc>
          <w:tcPr>
            <w:tcW w:w="21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CEFC86" w14:textId="77777777" w:rsidR="00AD77F5" w:rsidRPr="00AD77F5" w:rsidRDefault="00AD77F5" w:rsidP="00AD77F5">
            <w:pPr>
              <w:spacing w:before="120" w:after="120"/>
              <w:jc w:val="center"/>
              <w:rPr>
                <w:rFonts w:eastAsia="MS Mincho"/>
                <w:b/>
              </w:rPr>
            </w:pPr>
            <w:r w:rsidRPr="00AD77F5">
              <w:rPr>
                <w:rFonts w:eastAsia="MS Mincho"/>
                <w:b/>
              </w:rPr>
              <w:t>Lloji</w:t>
            </w:r>
          </w:p>
        </w:tc>
        <w:tc>
          <w:tcPr>
            <w:tcW w:w="21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BA4EE8" w14:textId="77777777" w:rsidR="00AD77F5" w:rsidRPr="00AD77F5" w:rsidRDefault="00AD77F5" w:rsidP="00AD77F5">
            <w:pPr>
              <w:spacing w:before="120" w:after="120"/>
              <w:jc w:val="center"/>
              <w:rPr>
                <w:rFonts w:eastAsia="MS Mincho"/>
                <w:b/>
              </w:rPr>
            </w:pPr>
            <w:r w:rsidRPr="00AD77F5">
              <w:rPr>
                <w:rFonts w:eastAsia="MS Mincho"/>
                <w:b/>
              </w:rPr>
              <w:t>Semestri</w:t>
            </w:r>
          </w:p>
        </w:tc>
        <w:tc>
          <w:tcPr>
            <w:tcW w:w="2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721D42" w14:textId="77777777" w:rsidR="00AD77F5" w:rsidRPr="00AD77F5" w:rsidRDefault="00AD77F5" w:rsidP="00AD77F5">
            <w:pPr>
              <w:spacing w:before="120" w:after="120"/>
              <w:jc w:val="center"/>
              <w:rPr>
                <w:rFonts w:eastAsia="MS Mincho"/>
                <w:b/>
              </w:rPr>
            </w:pPr>
            <w:r w:rsidRPr="00AD77F5">
              <w:rPr>
                <w:rFonts w:eastAsia="MS Mincho"/>
                <w:b/>
              </w:rPr>
              <w:t>ECTS</w:t>
            </w:r>
          </w:p>
        </w:tc>
      </w:tr>
      <w:tr w:rsidR="00AD77F5" w:rsidRPr="00AD77F5" w14:paraId="7C80C479" w14:textId="77777777" w:rsidTr="00AD77F5">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8AA3231" w14:textId="77777777" w:rsidR="00AD77F5" w:rsidRPr="00AD77F5" w:rsidRDefault="00AD77F5" w:rsidP="00AD77F5">
            <w:pPr>
              <w:rPr>
                <w:rFonts w:eastAsia="MS Mincho"/>
                <w:b/>
                <w:lang w:val="sq-AL" w:eastAsia="sq-AL"/>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245437AD" w14:textId="77777777" w:rsidR="00AD77F5" w:rsidRPr="00AD77F5" w:rsidRDefault="00AD77F5" w:rsidP="00AD77F5">
            <w:pPr>
              <w:spacing w:before="120" w:after="120"/>
              <w:jc w:val="center"/>
              <w:rPr>
                <w:rFonts w:eastAsia="MS Mincho"/>
                <w:b/>
              </w:rPr>
            </w:pPr>
            <w:r w:rsidRPr="00AD77F5">
              <w:rPr>
                <w:rFonts w:eastAsia="MS Mincho"/>
                <w:b/>
              </w:rPr>
              <w:t xml:space="preserve">OBLIGATIVE (O) </w:t>
            </w:r>
          </w:p>
        </w:tc>
        <w:tc>
          <w:tcPr>
            <w:tcW w:w="2177" w:type="dxa"/>
            <w:tcBorders>
              <w:top w:val="single" w:sz="4" w:space="0" w:color="auto"/>
              <w:left w:val="single" w:sz="4" w:space="0" w:color="auto"/>
              <w:bottom w:val="single" w:sz="4" w:space="0" w:color="auto"/>
              <w:right w:val="single" w:sz="4" w:space="0" w:color="auto"/>
            </w:tcBorders>
            <w:vAlign w:val="center"/>
            <w:hideMark/>
          </w:tcPr>
          <w:p w14:paraId="4DE8B253" w14:textId="77777777" w:rsidR="00AD77F5" w:rsidRPr="00AD77F5" w:rsidRDefault="00AD77F5" w:rsidP="00AD77F5">
            <w:pPr>
              <w:spacing w:before="120" w:after="120"/>
              <w:jc w:val="center"/>
              <w:rPr>
                <w:rFonts w:eastAsia="MS Mincho"/>
                <w:b/>
              </w:rPr>
            </w:pPr>
            <w:r w:rsidRPr="00AD77F5">
              <w:rPr>
                <w:rFonts w:eastAsia="MS Mincho"/>
                <w:b/>
              </w:rPr>
              <w:t>V</w:t>
            </w:r>
          </w:p>
        </w:tc>
        <w:tc>
          <w:tcPr>
            <w:tcW w:w="2544" w:type="dxa"/>
            <w:tcBorders>
              <w:top w:val="single" w:sz="4" w:space="0" w:color="auto"/>
              <w:left w:val="single" w:sz="4" w:space="0" w:color="auto"/>
              <w:bottom w:val="single" w:sz="4" w:space="0" w:color="auto"/>
              <w:right w:val="single" w:sz="4" w:space="0" w:color="auto"/>
            </w:tcBorders>
            <w:vAlign w:val="center"/>
            <w:hideMark/>
          </w:tcPr>
          <w:p w14:paraId="730E091E" w14:textId="77777777" w:rsidR="00AD77F5" w:rsidRPr="00AD77F5" w:rsidRDefault="00AD77F5" w:rsidP="00AD77F5">
            <w:pPr>
              <w:spacing w:before="120" w:after="120"/>
              <w:jc w:val="center"/>
              <w:rPr>
                <w:rFonts w:eastAsia="MS Mincho"/>
                <w:b/>
              </w:rPr>
            </w:pPr>
            <w:r w:rsidRPr="00AD77F5">
              <w:rPr>
                <w:rFonts w:eastAsia="MS Mincho"/>
                <w:b/>
              </w:rPr>
              <w:t>5</w:t>
            </w:r>
          </w:p>
        </w:tc>
      </w:tr>
      <w:tr w:rsidR="00AD77F5" w:rsidRPr="00AD77F5" w14:paraId="47D3D111" w14:textId="77777777" w:rsidTr="00AD77F5">
        <w:trPr>
          <w:trHeight w:val="492"/>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2FE4A78" w14:textId="77777777" w:rsidR="00AD77F5" w:rsidRPr="00AD77F5" w:rsidRDefault="00AD77F5" w:rsidP="00AD77F5">
            <w:pPr>
              <w:rPr>
                <w:rFonts w:eastAsia="MS Mincho"/>
                <w:b/>
                <w:lang w:val="sq-AL" w:eastAsia="sq-AL"/>
              </w:rPr>
            </w:pPr>
            <w:r w:rsidRPr="00AD77F5">
              <w:rPr>
                <w:rFonts w:eastAsia="MS Mincho"/>
                <w:b/>
                <w:lang w:val="sq-AL" w:eastAsia="sq-AL"/>
              </w:rPr>
              <w:t xml:space="preserve">    Lektori i kursit</w:t>
            </w:r>
          </w:p>
        </w:tc>
        <w:tc>
          <w:tcPr>
            <w:tcW w:w="6898" w:type="dxa"/>
            <w:gridSpan w:val="3"/>
            <w:tcBorders>
              <w:top w:val="single" w:sz="4" w:space="0" w:color="auto"/>
              <w:left w:val="single" w:sz="4" w:space="0" w:color="auto"/>
              <w:bottom w:val="single" w:sz="4" w:space="0" w:color="auto"/>
              <w:right w:val="single" w:sz="4" w:space="0" w:color="auto"/>
            </w:tcBorders>
            <w:hideMark/>
          </w:tcPr>
          <w:p w14:paraId="207BC8D2" w14:textId="77777777" w:rsidR="00AD77F5" w:rsidRPr="00AD77F5" w:rsidRDefault="00AD77F5" w:rsidP="00AD77F5">
            <w:pPr>
              <w:rPr>
                <w:rFonts w:eastAsia="MS Mincho"/>
                <w:b/>
                <w:lang w:val="sq-AL" w:eastAsia="sq-AL"/>
              </w:rPr>
            </w:pPr>
            <w:r w:rsidRPr="00AD77F5">
              <w:rPr>
                <w:rFonts w:eastAsia="MS Mincho"/>
                <w:b/>
                <w:lang w:val="sq-AL" w:eastAsia="sq-AL"/>
              </w:rPr>
              <w:t>Prof. Asst. Dr. Masar Gjaka, Dr. Sc. Abedin Bahtiri</w:t>
            </w:r>
          </w:p>
        </w:tc>
      </w:tr>
      <w:tr w:rsidR="00AD77F5" w:rsidRPr="00AD77F5" w14:paraId="7E923720" w14:textId="77777777" w:rsidTr="00AD77F5">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085C88" w14:textId="77777777" w:rsidR="00AD77F5" w:rsidRPr="00AD77F5" w:rsidRDefault="00AD77F5" w:rsidP="00AD77F5">
            <w:pPr>
              <w:ind w:left="330"/>
              <w:rPr>
                <w:rFonts w:eastAsia="MS Mincho"/>
                <w:b/>
                <w:lang w:val="sq-AL" w:eastAsia="sq-AL"/>
              </w:rPr>
            </w:pPr>
            <w:r w:rsidRPr="00AD77F5">
              <w:rPr>
                <w:rFonts w:eastAsia="MS Mincho"/>
                <w:b/>
                <w:lang w:val="sq-AL" w:eastAsia="sq-AL"/>
              </w:rPr>
              <w:t>Qëllimet dhe objektivat</w:t>
            </w:r>
          </w:p>
        </w:tc>
        <w:tc>
          <w:tcPr>
            <w:tcW w:w="6898" w:type="dxa"/>
            <w:gridSpan w:val="3"/>
            <w:tcBorders>
              <w:top w:val="single" w:sz="4" w:space="0" w:color="auto"/>
              <w:left w:val="single" w:sz="4" w:space="0" w:color="auto"/>
              <w:bottom w:val="single" w:sz="4" w:space="0" w:color="auto"/>
              <w:right w:val="single" w:sz="4" w:space="0" w:color="auto"/>
            </w:tcBorders>
            <w:hideMark/>
          </w:tcPr>
          <w:p w14:paraId="6FD2A1B3" w14:textId="77777777" w:rsidR="00AD77F5" w:rsidRPr="00AD77F5" w:rsidRDefault="00AD77F5" w:rsidP="00AD77F5">
            <w:pPr>
              <w:shd w:val="clear" w:color="auto" w:fill="FFFFFF"/>
              <w:spacing w:before="120"/>
              <w:jc w:val="both"/>
              <w:rPr>
                <w:rFonts w:eastAsia="MS Mincho"/>
                <w:bCs/>
                <w:iCs/>
                <w:lang w:val="it-IT"/>
              </w:rPr>
            </w:pPr>
            <w:r w:rsidRPr="00AD77F5">
              <w:rPr>
                <w:rFonts w:eastAsia="MS Mincho"/>
                <w:bCs/>
                <w:iCs/>
              </w:rPr>
              <w:t>Qëllimi i lëndës është t'u mundësojë nxënësve të kuptojnë dhe të mësojnë rreth metodave moderne të vlerësimit të ushqimit dhe shtesave ushqyese dhe të identifikojnë faktorët që ndikojnë në shëndet, si dhe në aftësitë funksionale tek ata që ushtrojnë rregullisht dhe te sportistët elitarë. Për më tepër, ky kurs ofron njohuri praktike rreth përgatitjes së një programi ushqimor individual dhe planit të shtesave ushqimore për njerëzit që ushtrojnë rregullisht dhe për sportistët elitarë. Ky kurs gjithashtu ka për qëllim të ofrojë informacion në lidhje me ushqimin dhe lidhjen e tij me probleme të ndryshme shëndetësore.</w:t>
            </w:r>
          </w:p>
        </w:tc>
      </w:tr>
      <w:tr w:rsidR="00AD77F5" w:rsidRPr="00AD77F5" w14:paraId="0C3728F6" w14:textId="77777777" w:rsidTr="00AD77F5">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A59C46E" w14:textId="77777777" w:rsidR="00AD77F5" w:rsidRPr="00AD77F5" w:rsidRDefault="00AD77F5" w:rsidP="00AD77F5">
            <w:pPr>
              <w:ind w:left="330"/>
              <w:rPr>
                <w:rFonts w:eastAsia="MS Mincho"/>
                <w:b/>
                <w:lang w:val="sq-AL" w:eastAsia="sq-AL"/>
              </w:rPr>
            </w:pPr>
            <w:r w:rsidRPr="00AD77F5">
              <w:rPr>
                <w:rFonts w:eastAsia="MS Mincho"/>
                <w:b/>
                <w:lang w:val="sq-AL" w:eastAsia="sq-AL"/>
              </w:rPr>
              <w:t>Rezultatet e mësimit</w:t>
            </w:r>
          </w:p>
        </w:tc>
        <w:tc>
          <w:tcPr>
            <w:tcW w:w="6898" w:type="dxa"/>
            <w:gridSpan w:val="3"/>
            <w:tcBorders>
              <w:top w:val="single" w:sz="4" w:space="0" w:color="auto"/>
              <w:left w:val="single" w:sz="4" w:space="0" w:color="auto"/>
              <w:bottom w:val="single" w:sz="4" w:space="0" w:color="auto"/>
              <w:right w:val="single" w:sz="4" w:space="0" w:color="auto"/>
            </w:tcBorders>
            <w:hideMark/>
          </w:tcPr>
          <w:p w14:paraId="70D188E6" w14:textId="77777777" w:rsidR="00AD77F5" w:rsidRPr="00AD77F5" w:rsidRDefault="00AD77F5" w:rsidP="00AD77F5">
            <w:pPr>
              <w:spacing w:before="120" w:after="120"/>
              <w:jc w:val="both"/>
              <w:rPr>
                <w:rFonts w:eastAsia="MS Mincho"/>
                <w:bCs/>
                <w:iCs/>
                <w:lang w:val="it-IT"/>
              </w:rPr>
            </w:pPr>
            <w:r w:rsidRPr="00AD77F5">
              <w:rPr>
                <w:rFonts w:eastAsia="MS Mincho"/>
                <w:bCs/>
                <w:iCs/>
              </w:rPr>
              <w:t xml:space="preserve">Pas përfundimit të suksesshëm të këtij kursi, studentët do të: </w:t>
            </w:r>
          </w:p>
          <w:p w14:paraId="317DD0B3" w14:textId="77777777" w:rsidR="00AD77F5" w:rsidRPr="00AD77F5" w:rsidRDefault="00AD77F5" w:rsidP="00AD77F5">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color w:val="0D0D0D"/>
                <w:lang w:eastAsia="sq-AL"/>
              </w:rPr>
            </w:pPr>
            <w:r w:rsidRPr="00AD77F5">
              <w:rPr>
                <w:color w:val="0D0D0D"/>
                <w:lang w:eastAsia="sq-AL"/>
              </w:rPr>
              <w:t>Kuptoni parimet themelore të të ushqyerit dhe rëndësinë e tyre për performancën atletike.</w:t>
            </w:r>
          </w:p>
          <w:p w14:paraId="42BC214B" w14:textId="77777777" w:rsidR="00AD77F5" w:rsidRPr="00AD77F5" w:rsidRDefault="00AD77F5" w:rsidP="00AD77F5">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color w:val="0D0D0D"/>
                <w:lang w:eastAsia="sq-AL"/>
              </w:rPr>
            </w:pPr>
            <w:r w:rsidRPr="00AD77F5">
              <w:rPr>
                <w:color w:val="0D0D0D"/>
                <w:lang w:eastAsia="sq-AL"/>
              </w:rPr>
              <w:t>Analizoni kërkesat macronutrient për lloje të ndryshme të atletëve dhe aktiviteteve sportive.</w:t>
            </w:r>
          </w:p>
          <w:p w14:paraId="465611EA" w14:textId="77777777" w:rsidR="00AD77F5" w:rsidRPr="00AD77F5" w:rsidRDefault="00AD77F5" w:rsidP="00AD77F5">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color w:val="0D0D0D"/>
                <w:lang w:eastAsia="sq-AL"/>
              </w:rPr>
            </w:pPr>
            <w:r w:rsidRPr="00AD77F5">
              <w:rPr>
                <w:color w:val="0D0D0D"/>
                <w:lang w:eastAsia="sq-AL"/>
              </w:rPr>
              <w:t>Vlerësoni rolin e mikronutrientëve në mbështetjen e funksioneve fiziologjike dhe performancës atletike.</w:t>
            </w:r>
          </w:p>
          <w:p w14:paraId="6EFA0569" w14:textId="77777777" w:rsidR="00AD77F5" w:rsidRPr="00AD77F5" w:rsidRDefault="00AD77F5" w:rsidP="00AD77F5">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color w:val="0D0D0D"/>
                <w:lang w:eastAsia="sq-AL"/>
              </w:rPr>
            </w:pPr>
            <w:r w:rsidRPr="00AD77F5">
              <w:rPr>
                <w:color w:val="0D0D0D"/>
                <w:lang w:eastAsia="sq-AL"/>
              </w:rPr>
              <w:t>Vlerësoni nevojat dhe strategjitë e hidratimit për ekuilibrin optimal të lëngjeve gjatë ushtrimit dhe rikuperimit.</w:t>
            </w:r>
          </w:p>
          <w:p w14:paraId="08AE9152" w14:textId="77777777" w:rsidR="00AD77F5" w:rsidRPr="00AD77F5" w:rsidRDefault="00AD77F5" w:rsidP="00AD77F5">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color w:val="0D0D0D"/>
                <w:lang w:eastAsia="sq-AL"/>
              </w:rPr>
            </w:pPr>
            <w:r w:rsidRPr="00AD77F5">
              <w:rPr>
                <w:color w:val="0D0D0D"/>
                <w:lang w:eastAsia="sq-AL"/>
              </w:rPr>
              <w:t>Shqyrtoni ndikimin e shtesave ushqimore në performancën atletike, shëndetin dhe konsideratat rregulluese.</w:t>
            </w:r>
          </w:p>
          <w:p w14:paraId="2C09BA27" w14:textId="77777777" w:rsidR="00AD77F5" w:rsidRPr="00AD77F5" w:rsidRDefault="00AD77F5" w:rsidP="00AD77F5">
            <w:pPr>
              <w:numPr>
                <w:ilvl w:val="0"/>
                <w:numId w:val="1"/>
              </w:numPr>
              <w:pBdr>
                <w:top w:val="single" w:sz="2" w:space="0" w:color="E3E3E3"/>
                <w:left w:val="single" w:sz="2" w:space="5" w:color="E3E3E3"/>
                <w:bottom w:val="single" w:sz="2" w:space="0" w:color="E3E3E3"/>
                <w:right w:val="single" w:sz="2" w:space="0" w:color="E3E3E3"/>
              </w:pBdr>
              <w:shd w:val="clear" w:color="auto" w:fill="FFFFFF"/>
              <w:jc w:val="both"/>
              <w:rPr>
                <w:color w:val="0D0D0D"/>
                <w:lang w:eastAsia="sq-AL"/>
              </w:rPr>
            </w:pPr>
            <w:r w:rsidRPr="00AD77F5">
              <w:rPr>
                <w:color w:val="0D0D0D"/>
                <w:lang w:eastAsia="sq-AL"/>
              </w:rPr>
              <w:t>Zhvilloni plane të personalizuara ushqyese për atletët bazuar në nevojat, qëllimet dhe preferencat e tyre specifike për energji.</w:t>
            </w:r>
          </w:p>
        </w:tc>
      </w:tr>
      <w:tr w:rsidR="00AD77F5" w:rsidRPr="00AD77F5" w14:paraId="6FF99EED" w14:textId="77777777" w:rsidTr="00AD77F5">
        <w:trPr>
          <w:trHeight w:val="841"/>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tcPr>
          <w:p w14:paraId="3B2B2116" w14:textId="77777777" w:rsidR="00AD77F5" w:rsidRPr="00AD77F5" w:rsidRDefault="00AD77F5" w:rsidP="00AD77F5">
            <w:pPr>
              <w:ind w:left="330"/>
              <w:rPr>
                <w:rFonts w:eastAsia="MS Mincho"/>
                <w:b/>
                <w:lang w:val="sq-AL" w:eastAsia="sq-AL"/>
              </w:rPr>
            </w:pPr>
          </w:p>
          <w:p w14:paraId="00A119EB" w14:textId="77777777" w:rsidR="00AD77F5" w:rsidRPr="00AD77F5" w:rsidRDefault="00AD77F5" w:rsidP="00AD77F5">
            <w:pPr>
              <w:ind w:left="330"/>
              <w:rPr>
                <w:rFonts w:eastAsia="MS Mincho"/>
                <w:b/>
                <w:lang w:val="sq-AL" w:eastAsia="sq-AL"/>
              </w:rPr>
            </w:pPr>
          </w:p>
          <w:p w14:paraId="3F6C0671" w14:textId="77777777" w:rsidR="00AD77F5" w:rsidRPr="00AD77F5" w:rsidRDefault="00AD77F5" w:rsidP="00AD77F5">
            <w:pPr>
              <w:ind w:left="330"/>
              <w:rPr>
                <w:rFonts w:eastAsia="MS Mincho"/>
                <w:b/>
                <w:lang w:val="sq-AL" w:eastAsia="sq-AL"/>
              </w:rPr>
            </w:pPr>
          </w:p>
          <w:p w14:paraId="2E3FEE20" w14:textId="77777777" w:rsidR="00AD77F5" w:rsidRPr="00AD77F5" w:rsidRDefault="00AD77F5" w:rsidP="00AD77F5">
            <w:pPr>
              <w:ind w:left="330"/>
              <w:rPr>
                <w:rFonts w:eastAsia="MS Mincho"/>
                <w:b/>
                <w:lang w:val="sq-AL" w:eastAsia="sq-AL"/>
              </w:rPr>
            </w:pPr>
            <w:r w:rsidRPr="00AD77F5">
              <w:rPr>
                <w:rFonts w:eastAsia="MS Mincho"/>
                <w:b/>
                <w:lang w:val="sq-AL" w:eastAsia="sq-AL"/>
              </w:rPr>
              <w:t>Përmbajtja</w:t>
            </w:r>
          </w:p>
          <w:p w14:paraId="659F1518" w14:textId="77777777" w:rsidR="00AD77F5" w:rsidRPr="00AD77F5" w:rsidRDefault="00AD77F5" w:rsidP="00AD77F5">
            <w:pPr>
              <w:ind w:left="330"/>
              <w:rPr>
                <w:rFonts w:eastAsia="MS Mincho"/>
                <w:b/>
                <w:lang w:val="sq-AL" w:eastAsia="sq-AL"/>
              </w:rPr>
            </w:pPr>
          </w:p>
          <w:p w14:paraId="22F920E6" w14:textId="77777777" w:rsidR="00AD77F5" w:rsidRPr="00AD77F5" w:rsidRDefault="00AD77F5" w:rsidP="00AD77F5">
            <w:pPr>
              <w:ind w:left="330"/>
              <w:rPr>
                <w:rFonts w:eastAsia="MS Mincho"/>
                <w:b/>
                <w:lang w:val="sq-AL" w:eastAsia="sq-AL"/>
              </w:rPr>
            </w:pPr>
          </w:p>
          <w:p w14:paraId="4A6FCF9A" w14:textId="77777777" w:rsidR="00AD77F5" w:rsidRPr="00AD77F5" w:rsidRDefault="00AD77F5" w:rsidP="00AD77F5">
            <w:pPr>
              <w:ind w:left="330"/>
              <w:rPr>
                <w:rFonts w:eastAsia="MS Mincho"/>
                <w:b/>
                <w:lang w:val="sq-AL" w:eastAsia="sq-AL"/>
              </w:rPr>
            </w:pPr>
          </w:p>
          <w:p w14:paraId="3E7C1BB1" w14:textId="77777777" w:rsidR="00AD77F5" w:rsidRPr="00AD77F5" w:rsidRDefault="00AD77F5" w:rsidP="00AD77F5">
            <w:pPr>
              <w:ind w:left="330"/>
              <w:rPr>
                <w:rFonts w:eastAsia="MS Mincho"/>
                <w:b/>
                <w:lang w:val="sq-AL" w:eastAsia="sq-AL"/>
              </w:rPr>
            </w:pPr>
          </w:p>
          <w:p w14:paraId="3A3F197C" w14:textId="77777777" w:rsidR="00AD77F5" w:rsidRPr="00AD77F5" w:rsidRDefault="00AD77F5" w:rsidP="00AD77F5">
            <w:pPr>
              <w:ind w:left="330"/>
              <w:rPr>
                <w:rFonts w:eastAsia="MS Mincho"/>
                <w:b/>
                <w:lang w:val="sq-AL" w:eastAsia="sq-AL"/>
              </w:rPr>
            </w:pPr>
          </w:p>
        </w:tc>
        <w:tc>
          <w:tcPr>
            <w:tcW w:w="6898" w:type="dxa"/>
            <w:gridSpan w:val="3"/>
            <w:tcBorders>
              <w:top w:val="single" w:sz="4" w:space="0" w:color="auto"/>
              <w:left w:val="single" w:sz="4" w:space="0" w:color="auto"/>
              <w:bottom w:val="single" w:sz="4" w:space="0" w:color="auto"/>
              <w:right w:val="single" w:sz="4" w:space="0" w:color="auto"/>
            </w:tcBorders>
            <w:hideMark/>
          </w:tcPr>
          <w:p w14:paraId="21C18F21" w14:textId="77777777" w:rsidR="00AD77F5" w:rsidRPr="00AD77F5" w:rsidRDefault="00AD77F5" w:rsidP="00AD77F5">
            <w:pPr>
              <w:numPr>
                <w:ilvl w:val="0"/>
                <w:numId w:val="2"/>
              </w:numPr>
              <w:autoSpaceDE w:val="0"/>
              <w:autoSpaceDN w:val="0"/>
              <w:adjustRightInd w:val="0"/>
              <w:jc w:val="both"/>
            </w:pPr>
            <w:r w:rsidRPr="00AD77F5">
              <w:t xml:space="preserve">Hyrje </w:t>
            </w:r>
            <w:r w:rsidRPr="00AD77F5">
              <w:rPr>
                <w:bCs/>
                <w:iCs/>
                <w:color w:val="000000"/>
              </w:rPr>
              <w:t>në të ushqyerit sportiv</w:t>
            </w:r>
          </w:p>
          <w:p w14:paraId="199C99BE" w14:textId="77777777" w:rsidR="00AD77F5" w:rsidRPr="00AD77F5" w:rsidRDefault="00AD77F5" w:rsidP="00AD77F5">
            <w:pPr>
              <w:numPr>
                <w:ilvl w:val="0"/>
                <w:numId w:val="2"/>
              </w:numPr>
              <w:autoSpaceDE w:val="0"/>
              <w:autoSpaceDN w:val="0"/>
              <w:adjustRightInd w:val="0"/>
              <w:jc w:val="both"/>
            </w:pPr>
            <w:r w:rsidRPr="00AD77F5">
              <w:t>Sistemet e energjisë dhe ushtrimeve;</w:t>
            </w:r>
          </w:p>
          <w:p w14:paraId="27C2BCB5" w14:textId="77777777" w:rsidR="00AD77F5" w:rsidRPr="00AD77F5" w:rsidRDefault="00AD77F5" w:rsidP="00AD77F5">
            <w:pPr>
              <w:numPr>
                <w:ilvl w:val="0"/>
                <w:numId w:val="2"/>
              </w:numPr>
              <w:autoSpaceDE w:val="0"/>
              <w:autoSpaceDN w:val="0"/>
              <w:adjustRightInd w:val="0"/>
              <w:jc w:val="both"/>
            </w:pPr>
            <w:r w:rsidRPr="00AD77F5">
              <w:t>Macronutrients</w:t>
            </w:r>
            <w:r w:rsidRPr="00AD77F5">
              <w:rPr>
                <w:bCs/>
                <w:iCs/>
                <w:color w:val="000000"/>
              </w:rPr>
              <w:t xml:space="preserve">; </w:t>
            </w:r>
            <w:r w:rsidRPr="00AD77F5">
              <w:t>Karbohidratet</w:t>
            </w:r>
          </w:p>
          <w:p w14:paraId="74CE2572" w14:textId="77777777" w:rsidR="00AD77F5" w:rsidRPr="00AD77F5" w:rsidRDefault="00AD77F5" w:rsidP="00AD77F5">
            <w:pPr>
              <w:numPr>
                <w:ilvl w:val="0"/>
                <w:numId w:val="2"/>
              </w:numPr>
              <w:autoSpaceDE w:val="0"/>
              <w:autoSpaceDN w:val="0"/>
              <w:adjustRightInd w:val="0"/>
              <w:jc w:val="both"/>
            </w:pPr>
            <w:r w:rsidRPr="00AD77F5">
              <w:t xml:space="preserve">Yndyrat </w:t>
            </w:r>
          </w:p>
          <w:p w14:paraId="237F8160" w14:textId="77777777" w:rsidR="00AD77F5" w:rsidRPr="00AD77F5" w:rsidRDefault="00AD77F5" w:rsidP="00AD77F5">
            <w:pPr>
              <w:numPr>
                <w:ilvl w:val="0"/>
                <w:numId w:val="2"/>
              </w:numPr>
              <w:autoSpaceDE w:val="0"/>
              <w:autoSpaceDN w:val="0"/>
              <w:adjustRightInd w:val="0"/>
              <w:jc w:val="both"/>
            </w:pPr>
            <w:r w:rsidRPr="00AD77F5">
              <w:t xml:space="preserve">Proteinat </w:t>
            </w:r>
          </w:p>
          <w:p w14:paraId="6D92F632" w14:textId="77777777" w:rsidR="00AD77F5" w:rsidRPr="00AD77F5" w:rsidRDefault="00AD77F5" w:rsidP="00AD77F5">
            <w:pPr>
              <w:numPr>
                <w:ilvl w:val="0"/>
                <w:numId w:val="2"/>
              </w:numPr>
              <w:autoSpaceDE w:val="0"/>
              <w:autoSpaceDN w:val="0"/>
              <w:adjustRightInd w:val="0"/>
              <w:jc w:val="both"/>
            </w:pPr>
            <w:r w:rsidRPr="00AD77F5">
              <w:t xml:space="preserve">Mikronutrientët; Kërkesat ditore të vitaminave </w:t>
            </w:r>
          </w:p>
          <w:p w14:paraId="39FBD074" w14:textId="77777777" w:rsidR="00AD77F5" w:rsidRPr="00AD77F5" w:rsidRDefault="00AD77F5" w:rsidP="00AD77F5">
            <w:pPr>
              <w:numPr>
                <w:ilvl w:val="0"/>
                <w:numId w:val="2"/>
              </w:numPr>
              <w:autoSpaceDE w:val="0"/>
              <w:autoSpaceDN w:val="0"/>
              <w:adjustRightInd w:val="0"/>
              <w:jc w:val="both"/>
            </w:pPr>
            <w:r w:rsidRPr="00AD77F5">
              <w:t>Testimi i parë i ndërmjemë</w:t>
            </w:r>
          </w:p>
          <w:p w14:paraId="0C78C863" w14:textId="77777777" w:rsidR="00AD77F5" w:rsidRPr="00AD77F5" w:rsidRDefault="00AD77F5" w:rsidP="00AD77F5">
            <w:pPr>
              <w:numPr>
                <w:ilvl w:val="0"/>
                <w:numId w:val="2"/>
              </w:numPr>
              <w:autoSpaceDE w:val="0"/>
              <w:autoSpaceDN w:val="0"/>
              <w:adjustRightInd w:val="0"/>
              <w:jc w:val="both"/>
            </w:pPr>
            <w:r w:rsidRPr="00AD77F5">
              <w:t xml:space="preserve">Kërkesat ditore të mineraleve </w:t>
            </w:r>
          </w:p>
          <w:p w14:paraId="10AC3411" w14:textId="77777777" w:rsidR="00AD77F5" w:rsidRPr="00AD77F5" w:rsidRDefault="00AD77F5" w:rsidP="00AD77F5">
            <w:pPr>
              <w:numPr>
                <w:ilvl w:val="0"/>
                <w:numId w:val="2"/>
              </w:numPr>
              <w:autoSpaceDE w:val="0"/>
              <w:autoSpaceDN w:val="0"/>
              <w:adjustRightInd w:val="0"/>
              <w:jc w:val="both"/>
            </w:pPr>
            <w:r w:rsidRPr="00AD77F5">
              <w:t xml:space="preserve">Rëndësia e ujit tek njerëzit që ushtrojnë rregullisht dhe në atletët elitarë </w:t>
            </w:r>
          </w:p>
          <w:p w14:paraId="39562932" w14:textId="77777777" w:rsidR="00AD77F5" w:rsidRPr="00AD77F5" w:rsidRDefault="00AD77F5" w:rsidP="00AD77F5">
            <w:pPr>
              <w:numPr>
                <w:ilvl w:val="0"/>
                <w:numId w:val="2"/>
              </w:numPr>
              <w:autoSpaceDE w:val="0"/>
              <w:autoSpaceDN w:val="0"/>
              <w:adjustRightInd w:val="0"/>
              <w:jc w:val="both"/>
            </w:pPr>
            <w:r w:rsidRPr="00AD77F5">
              <w:t>Ushqimi dhe shërimi</w:t>
            </w:r>
          </w:p>
          <w:p w14:paraId="397745C5" w14:textId="77777777" w:rsidR="00AD77F5" w:rsidRPr="00AD77F5" w:rsidRDefault="00AD77F5" w:rsidP="00AD77F5">
            <w:pPr>
              <w:numPr>
                <w:ilvl w:val="0"/>
                <w:numId w:val="2"/>
              </w:numPr>
              <w:autoSpaceDE w:val="0"/>
              <w:autoSpaceDN w:val="0"/>
              <w:adjustRightInd w:val="0"/>
              <w:jc w:val="both"/>
            </w:pPr>
            <w:r w:rsidRPr="00AD77F5">
              <w:t xml:space="preserve">Shtesat ushqimore; </w:t>
            </w:r>
          </w:p>
          <w:p w14:paraId="2FBC71E8" w14:textId="77777777" w:rsidR="00AD77F5" w:rsidRPr="00AD77F5" w:rsidRDefault="00AD77F5" w:rsidP="00AD77F5">
            <w:pPr>
              <w:numPr>
                <w:ilvl w:val="0"/>
                <w:numId w:val="2"/>
              </w:numPr>
              <w:autoSpaceDE w:val="0"/>
              <w:autoSpaceDN w:val="0"/>
              <w:adjustRightInd w:val="0"/>
              <w:jc w:val="both"/>
            </w:pPr>
            <w:r w:rsidRPr="00AD77F5">
              <w:t>Shtesat ushqyese dhe ushqyese para, gjatë dhe pas ushtrimeve;</w:t>
            </w:r>
          </w:p>
          <w:p w14:paraId="6B6A94DD" w14:textId="77777777" w:rsidR="00AD77F5" w:rsidRPr="00AD77F5" w:rsidRDefault="00AD77F5" w:rsidP="00AD77F5">
            <w:pPr>
              <w:numPr>
                <w:ilvl w:val="0"/>
                <w:numId w:val="2"/>
              </w:numPr>
              <w:autoSpaceDE w:val="0"/>
              <w:autoSpaceDN w:val="0"/>
              <w:adjustRightInd w:val="0"/>
              <w:jc w:val="both"/>
            </w:pPr>
            <w:r w:rsidRPr="00AD77F5">
              <w:t xml:space="preserve">Pesha dhe përbërja e trupit; </w:t>
            </w:r>
          </w:p>
          <w:p w14:paraId="72DDDC57" w14:textId="77777777" w:rsidR="00AD77F5" w:rsidRPr="00AD77F5" w:rsidRDefault="00AD77F5" w:rsidP="00AD77F5">
            <w:pPr>
              <w:numPr>
                <w:ilvl w:val="0"/>
                <w:numId w:val="2"/>
              </w:numPr>
              <w:autoSpaceDE w:val="0"/>
              <w:autoSpaceDN w:val="0"/>
              <w:adjustRightInd w:val="0"/>
              <w:jc w:val="both"/>
            </w:pPr>
            <w:r w:rsidRPr="00AD77F5">
              <w:t>Kodi Kundër Dopingut, lista e substancave të ndaluara dhe pasojat e shkeljeve të rregullave kundër dopingut.</w:t>
            </w:r>
          </w:p>
          <w:p w14:paraId="445AF1C3" w14:textId="77777777" w:rsidR="00AD77F5" w:rsidRPr="00AD77F5" w:rsidRDefault="00AD77F5" w:rsidP="00AD77F5">
            <w:pPr>
              <w:numPr>
                <w:ilvl w:val="0"/>
                <w:numId w:val="2"/>
              </w:numPr>
              <w:autoSpaceDE w:val="0"/>
              <w:autoSpaceDN w:val="0"/>
              <w:adjustRightInd w:val="0"/>
              <w:jc w:val="both"/>
            </w:pPr>
            <w:r w:rsidRPr="00AD77F5">
              <w:t>Testimi i dytë i ndërmjemë</w:t>
            </w:r>
          </w:p>
        </w:tc>
      </w:tr>
      <w:tr w:rsidR="00AD77F5" w:rsidRPr="00AD77F5" w14:paraId="3B877EB2" w14:textId="77777777" w:rsidTr="00AD77F5">
        <w:trPr>
          <w:trHeight w:val="646"/>
        </w:trPr>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652E92D" w14:textId="77777777" w:rsidR="00AD77F5" w:rsidRPr="00AD77F5" w:rsidRDefault="00AD77F5" w:rsidP="00AD77F5">
            <w:pPr>
              <w:ind w:left="330"/>
              <w:rPr>
                <w:rFonts w:eastAsia="MS Mincho"/>
                <w:b/>
                <w:lang w:val="sq-AL" w:eastAsia="sq-AL"/>
              </w:rPr>
            </w:pPr>
            <w:r w:rsidRPr="00AD77F5">
              <w:rPr>
                <w:rFonts w:eastAsia="MS Mincho"/>
                <w:b/>
                <w:lang w:val="sq-AL" w:eastAsia="sq-AL"/>
              </w:rPr>
              <w:lastRenderedPageBreak/>
              <w:t>Literatura</w:t>
            </w:r>
          </w:p>
        </w:tc>
        <w:tc>
          <w:tcPr>
            <w:tcW w:w="6898" w:type="dxa"/>
            <w:gridSpan w:val="3"/>
            <w:tcBorders>
              <w:top w:val="single" w:sz="4" w:space="0" w:color="auto"/>
              <w:left w:val="single" w:sz="4" w:space="0" w:color="auto"/>
              <w:bottom w:val="single" w:sz="4" w:space="0" w:color="auto"/>
              <w:right w:val="single" w:sz="4" w:space="0" w:color="auto"/>
            </w:tcBorders>
            <w:hideMark/>
          </w:tcPr>
          <w:p w14:paraId="45C83F96" w14:textId="77777777" w:rsidR="00AD77F5" w:rsidRPr="00AD77F5" w:rsidRDefault="00AD77F5" w:rsidP="00AD77F5">
            <w:pPr>
              <w:numPr>
                <w:ilvl w:val="0"/>
                <w:numId w:val="3"/>
              </w:numPr>
              <w:contextualSpacing/>
              <w:jc w:val="both"/>
              <w:rPr>
                <w:rFonts w:eastAsia="MS Mincho"/>
                <w:shd w:val="clear" w:color="auto" w:fill="FFFFFF"/>
              </w:rPr>
            </w:pPr>
            <w:r w:rsidRPr="00AD77F5">
              <w:rPr>
                <w:rFonts w:eastAsia="MS Mincho"/>
                <w:shd w:val="clear" w:color="auto" w:fill="FFFFFF"/>
              </w:rPr>
              <w:t>Doyle, J. Andrew Dunford, Marie - Nutrition for sport and exercise-Delmar Cengage Learning (2019)</w:t>
            </w:r>
          </w:p>
          <w:p w14:paraId="2E3C27F9" w14:textId="77777777" w:rsidR="00AD77F5" w:rsidRPr="00AD77F5" w:rsidRDefault="00AD77F5" w:rsidP="00AD77F5">
            <w:pPr>
              <w:numPr>
                <w:ilvl w:val="0"/>
                <w:numId w:val="3"/>
              </w:numPr>
              <w:contextualSpacing/>
              <w:jc w:val="both"/>
              <w:rPr>
                <w:rFonts w:eastAsia="MS Mincho"/>
                <w:shd w:val="clear" w:color="auto" w:fill="FFFFFF"/>
              </w:rPr>
            </w:pPr>
            <w:r w:rsidRPr="00AD77F5">
              <w:rPr>
                <w:rFonts w:eastAsia="MS Mincho"/>
                <w:shd w:val="clear" w:color="auto" w:fill="FFFFFF"/>
              </w:rPr>
              <w:t>Lanham-New, S., Stear, S., Shirreffs, S., &amp; Collins, A. (2011). Sport dhe ushtrime ushqyese. Shoqëria e Të Ushqyerit.</w:t>
            </w:r>
          </w:p>
          <w:p w14:paraId="54D64410" w14:textId="77777777" w:rsidR="00AD77F5" w:rsidRPr="00AD77F5" w:rsidRDefault="00AD77F5" w:rsidP="00AD77F5">
            <w:pPr>
              <w:numPr>
                <w:ilvl w:val="0"/>
                <w:numId w:val="3"/>
              </w:numPr>
              <w:contextualSpacing/>
              <w:jc w:val="both"/>
              <w:rPr>
                <w:rFonts w:eastAsia="MS Mincho"/>
                <w:shd w:val="clear" w:color="auto" w:fill="FFFFFF"/>
              </w:rPr>
            </w:pPr>
            <w:r w:rsidRPr="00AD77F5">
              <w:rPr>
                <w:rFonts w:eastAsia="MS Mincho"/>
                <w:shd w:val="clear" w:color="auto" w:fill="FFFFFF"/>
              </w:rPr>
              <w:t>Rawson, E. S., &amp; Volpe, S. (2015). Ushqim për atletët elitarë. CRC Press.</w:t>
            </w:r>
          </w:p>
          <w:p w14:paraId="3AFDF407" w14:textId="77777777" w:rsidR="00AD77F5" w:rsidRPr="00AD77F5" w:rsidRDefault="00AD77F5" w:rsidP="00AD77F5">
            <w:pPr>
              <w:spacing w:before="120" w:after="120"/>
              <w:ind w:left="360"/>
              <w:jc w:val="both"/>
              <w:rPr>
                <w:rFonts w:eastAsia="MS Mincho"/>
                <w:shd w:val="clear" w:color="auto" w:fill="FFFFFF"/>
              </w:rPr>
            </w:pPr>
            <w:r w:rsidRPr="00AD77F5">
              <w:rPr>
                <w:rFonts w:eastAsia="MS Mincho"/>
              </w:rPr>
              <w:t>Përveç librave të treguar, botimet shkencore të përditësuara do të përdoren për përgatitjen e leksioneve, të cilat do të vihen në dispozicion të studentëve nëpërmjet platformës moodle.</w:t>
            </w:r>
          </w:p>
        </w:tc>
      </w:tr>
      <w:tr w:rsidR="00AD77F5" w:rsidRPr="00AD77F5" w14:paraId="08349FE3" w14:textId="77777777" w:rsidTr="00AD77F5">
        <w:tc>
          <w:tcPr>
            <w:tcW w:w="25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8143772" w14:textId="77777777" w:rsidR="00AD77F5" w:rsidRPr="00AD77F5" w:rsidRDefault="00AD77F5" w:rsidP="00AD77F5">
            <w:pPr>
              <w:ind w:left="330"/>
              <w:rPr>
                <w:rFonts w:eastAsia="MS Mincho"/>
                <w:b/>
                <w:lang w:val="sq-AL" w:eastAsia="sq-AL"/>
              </w:rPr>
            </w:pPr>
            <w:r w:rsidRPr="00AD77F5">
              <w:rPr>
                <w:rFonts w:eastAsia="MS Mincho"/>
                <w:b/>
                <w:lang w:val="sq-AL" w:eastAsia="sq-AL"/>
              </w:rPr>
              <w:t>Kontakt</w:t>
            </w:r>
          </w:p>
        </w:tc>
        <w:tc>
          <w:tcPr>
            <w:tcW w:w="6898" w:type="dxa"/>
            <w:gridSpan w:val="3"/>
            <w:tcBorders>
              <w:top w:val="single" w:sz="4" w:space="0" w:color="auto"/>
              <w:left w:val="single" w:sz="4" w:space="0" w:color="auto"/>
              <w:bottom w:val="single" w:sz="4" w:space="0" w:color="auto"/>
              <w:right w:val="single" w:sz="4" w:space="0" w:color="auto"/>
            </w:tcBorders>
            <w:hideMark/>
          </w:tcPr>
          <w:p w14:paraId="1AA006E1" w14:textId="77777777" w:rsidR="00AD77F5" w:rsidRPr="00AD77F5" w:rsidRDefault="00AD77F5" w:rsidP="00AD77F5">
            <w:pPr>
              <w:rPr>
                <w:rFonts w:eastAsia="MS Mincho"/>
                <w:b/>
                <w:lang w:val="sq-AL" w:eastAsia="sq-AL"/>
              </w:rPr>
            </w:pPr>
            <w:hyperlink r:id="rId5" w:history="1">
              <w:r w:rsidRPr="00AD77F5">
                <w:rPr>
                  <w:rFonts w:eastAsia="MS Mincho"/>
                  <w:b/>
                  <w:color w:val="0563C1"/>
                  <w:u w:val="single"/>
                  <w:lang w:val="sq-AL" w:eastAsia="sq-AL"/>
                </w:rPr>
                <w:t>abedin.bahtiri@ubt-uni.net</w:t>
              </w:r>
            </w:hyperlink>
            <w:r w:rsidRPr="00AD77F5">
              <w:rPr>
                <w:rFonts w:eastAsia="MS Mincho"/>
                <w:b/>
                <w:lang w:val="sq-AL" w:eastAsia="sq-AL"/>
              </w:rPr>
              <w:t xml:space="preserve"> </w:t>
            </w:r>
          </w:p>
        </w:tc>
      </w:tr>
    </w:tbl>
    <w:p w14:paraId="50556E3A" w14:textId="77777777" w:rsidR="002F71EA" w:rsidRDefault="002F71EA"/>
    <w:p w14:paraId="36E5A121" w14:textId="77777777" w:rsidR="00AD77F5" w:rsidRDefault="00AD77F5"/>
    <w:sectPr w:rsidR="00AD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CD0263"/>
    <w:multiLevelType w:val="hybridMultilevel"/>
    <w:tmpl w:val="A0DC8F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2911094"/>
    <w:multiLevelType w:val="hybridMultilevel"/>
    <w:tmpl w:val="4CD05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F673E7"/>
    <w:multiLevelType w:val="hybridMultilevel"/>
    <w:tmpl w:val="80A2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147163396">
    <w:abstractNumId w:val="2"/>
    <w:lvlOverride w:ilvl="0"/>
    <w:lvlOverride w:ilvl="1"/>
    <w:lvlOverride w:ilvl="2"/>
    <w:lvlOverride w:ilvl="3"/>
    <w:lvlOverride w:ilvl="4"/>
    <w:lvlOverride w:ilvl="5"/>
    <w:lvlOverride w:ilvl="6"/>
    <w:lvlOverride w:ilvl="7"/>
    <w:lvlOverride w:ilvl="8"/>
  </w:num>
  <w:num w:numId="2" w16cid:durableId="1573278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76579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A7"/>
    <w:rsid w:val="002F71EA"/>
    <w:rsid w:val="00715DA7"/>
    <w:rsid w:val="00AD77F5"/>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02A5"/>
  <w15:chartTrackingRefBased/>
  <w15:docId w15:val="{7C87118E-DC51-4E8A-B36A-973DF93B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7F5"/>
    <w:pPr>
      <w:spacing w:after="0" w:line="240" w:lineRule="auto"/>
    </w:pPr>
    <w:rPr>
      <w:rFonts w:ascii="Calibri" w:eastAsia="Calibri" w:hAnsi="Calibri" w:cs="Arial"/>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62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edin.bahtir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2024-03-28T13:32:00Z</dcterms:created>
  <dcterms:modified xsi:type="dcterms:W3CDTF">2024-03-28T13:32:00Z</dcterms:modified>
</cp:coreProperties>
</file>