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636"/>
        <w:gridCol w:w="1689"/>
        <w:gridCol w:w="1666"/>
        <w:gridCol w:w="1946"/>
      </w:tblGrid>
      <w:tr w:rsidR="00B65D20" w14:paraId="17C9E774" w14:textId="77777777" w:rsidTr="00B65D20">
        <w:trPr>
          <w:trHeight w:val="570"/>
        </w:trPr>
        <w:tc>
          <w:tcPr>
            <w:tcW w:w="1505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7BF0B027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Lënda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BA2B304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7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0BBA7B32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KIMI ORGANIKE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C14DF5F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5D20" w14:paraId="63A47245" w14:textId="77777777" w:rsidTr="00B65D20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7C0F980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1306B5C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Llojj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9936351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655EB6C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Semestri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935811A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ECTS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64A68761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Kodi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5D20" w14:paraId="5A9B23AE" w14:textId="77777777" w:rsidTr="00B65D20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6C0BFB2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vAlign w:val="center"/>
            <w:hideMark/>
          </w:tcPr>
          <w:p w14:paraId="1B86E875" w14:textId="77777777" w:rsidR="00B65D20" w:rsidRDefault="00B65D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val="en-GB"/>
              </w:rPr>
              <w:t>                       </w:t>
            </w:r>
          </w:p>
          <w:p w14:paraId="21908D59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                         O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418B55B1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19633049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val="en-GB"/>
              </w:rPr>
              <w:t>                  2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0D4010DA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val="en-GB"/>
              </w:rPr>
              <w:t>             4 (2+2)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DD334BD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val="en-GB"/>
              </w:rPr>
              <w:t>      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130OCH151</w:t>
            </w:r>
          </w:p>
        </w:tc>
      </w:tr>
      <w:tr w:rsidR="00B65D20" w14:paraId="70B3F5DC" w14:textId="77777777" w:rsidTr="00B65D20">
        <w:trPr>
          <w:trHeight w:val="450"/>
        </w:trPr>
        <w:tc>
          <w:tcPr>
            <w:tcW w:w="1505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0CB4AF25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Ligjeruesi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7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0AAFC542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Suzana Aliu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Prof. Asst.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Hyrije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Koraqi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42F2BE7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5D20" w14:paraId="6D84943E" w14:textId="77777777" w:rsidTr="00B65D20">
        <w:trPr>
          <w:trHeight w:val="795"/>
        </w:trPr>
        <w:tc>
          <w:tcPr>
            <w:tcW w:w="1505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42EBFAEC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Asistenti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72060F44" w14:textId="77777777" w:rsidR="00B65D20" w:rsidRDefault="00B65D2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B65D20" w14:paraId="3D4BE868" w14:textId="77777777" w:rsidTr="00B65D20">
        <w:trPr>
          <w:trHeight w:val="80"/>
        </w:trPr>
        <w:tc>
          <w:tcPr>
            <w:tcW w:w="1505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12380823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Tutori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A9CD2B4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5D20" w14:paraId="5729CDCC" w14:textId="77777777" w:rsidTr="00B65D20">
        <w:trPr>
          <w:trHeight w:val="4815"/>
        </w:trPr>
        <w:tc>
          <w:tcPr>
            <w:tcW w:w="15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241FAD48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Qëllimet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objektivat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7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6E477247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Lënda e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kimise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organike do t’u  mundësojë studentëve që të përfitojnë  njohuri të përgjithshme për s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trukturën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vetitë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komponimeve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organike,Te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bejne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emertimet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komponimeve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sipas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Nomenklatures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JUPAC,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dallojne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alkanet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struktura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përftimi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halogjenuret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alkileve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struktura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përftimi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komponimet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organometalike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alkenet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struktura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përftimi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stereokimia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alkinet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struktura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përftimi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dienet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struktura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përftimi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hidrokarburet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aliciklike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struktura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përftimi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hidrokarburet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aromatike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struktura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përftimi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>).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Gjithashtu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mundesoje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qe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studentet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dallojne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komponimet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baze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grupeve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funksionale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alkoolet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fenolet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aldehidet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ketonet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acidet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karboksilike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aminat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biokomponimet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lipidet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dyllrat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sapunet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hidratet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karbonit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aminoacidet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ligdhjen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peptide)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proteinat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5F806CD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/>
              </w:rPr>
              <w:t xml:space="preserve">Eksperimentet laboratorike që kanë të bëjnë me temat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/>
              </w:rPr>
              <w:t>lartëpërmendura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/>
              </w:rPr>
              <w:t xml:space="preserve"> do të përfshijnë teknikat laboratorike, sintezën dhe karakterizimin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/>
              </w:rPr>
              <w:t>spektroskopike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/>
              </w:rPr>
              <w:t xml:space="preserve"> të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/>
              </w:rPr>
              <w:t>komponimeve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/>
              </w:rPr>
              <w:t xml:space="preserve"> organike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D20" w14:paraId="0C0D91AC" w14:textId="77777777" w:rsidTr="00B65D20">
        <w:trPr>
          <w:trHeight w:val="1785"/>
        </w:trPr>
        <w:tc>
          <w:tcPr>
            <w:tcW w:w="15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9C8F774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Rezultatet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pritshme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7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2DCA1002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BD4E1BC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përfundimit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këtij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kursi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lënde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gjendje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0E4CE4C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4CB341F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kiminë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organike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marrin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njohuri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 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materialin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literaturen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preferuar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izomerine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 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klasifikimin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komponimeve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organike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Hidrokarburet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(alkanet,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alkenet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alkinet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dienet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komponimet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aliciklike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halogjanuret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alkileve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Reagjentet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Grinard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-it, 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komponimet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organike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qe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posedojne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oksigjen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alkoolet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fenolet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eteret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aldehidet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ketonet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komponimet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organike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qe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kane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oksigjen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berthamen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tyre (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acidet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karboksilike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derivatet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acideve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karboksilike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hidratet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karbonit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aminat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lipidet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aminoacidet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proteinat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 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rikapitulim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gjithe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materies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kimia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organike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parapregaditja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provim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29B3C23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85EF15E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5E7724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D20" w14:paraId="252ECFA1" w14:textId="77777777" w:rsidTr="00B65D20">
        <w:trPr>
          <w:trHeight w:val="5925"/>
        </w:trPr>
        <w:tc>
          <w:tcPr>
            <w:tcW w:w="15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F9A350B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lastRenderedPageBreak/>
              <w:t>Përafrimi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rezultateve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nxënit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kursit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rezultatet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nxënit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programeve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7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59F1E4B9" w14:textId="77777777" w:rsidR="00B65D20" w:rsidRDefault="00B65D20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Zbatimi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njohurive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teorike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 </w:t>
            </w:r>
          </w:p>
          <w:p w14:paraId="2FE0859E" w14:textId="77777777" w:rsidR="00B65D20" w:rsidRDefault="00B65D20" w:rsidP="001669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Dijë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dalloj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klasat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të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ndryshme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komponimeve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372D444" w14:textId="77777777" w:rsidR="00B65D20" w:rsidRDefault="00B65D20" w:rsidP="001669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Kuptoj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strukturën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reaktivitetin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komponimeve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774614AF" w14:textId="77777777" w:rsidR="00B65D20" w:rsidRDefault="00B65D20" w:rsidP="001669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dalloje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komponimet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baze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grupeve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funksionale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6947190" w14:textId="77777777" w:rsidR="00B65D20" w:rsidRDefault="00B65D20" w:rsidP="001669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Përcaktoj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nomenklaturën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klasëve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ndryshme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komponimeve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sidomos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dije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beje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emertimin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komponimeve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sipas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Nomenklatures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JUPAC,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edhe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emertimet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sipas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nomenklaturave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tjera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rendomte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ose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asaj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triviale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>).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7D5820C" w14:textId="77777777" w:rsidR="00B65D20" w:rsidRDefault="00B65D20" w:rsidP="001669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Njihet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konceptet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reaksioneve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kimike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 xml:space="preserve">e 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substituimit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>,adicicionimit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eliminimit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rigrupimit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etj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74EACCF0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       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Zhvillimi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aftesive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praktike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 </w:t>
            </w:r>
          </w:p>
          <w:p w14:paraId="6EC5176F" w14:textId="77777777" w:rsidR="00B65D20" w:rsidRDefault="00B65D20" w:rsidP="001669AD">
            <w:pPr>
              <w:numPr>
                <w:ilvl w:val="0"/>
                <w:numId w:val="3"/>
              </w:numPr>
              <w:spacing w:after="0" w:line="240" w:lineRule="auto"/>
              <w:ind w:left="63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beje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klasifikimin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e 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komponimeve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,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baze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perberjes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se tyre.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1A20EE18" w14:textId="77777777" w:rsidR="00B65D20" w:rsidRDefault="00B65D20" w:rsidP="001669AD">
            <w:pPr>
              <w:numPr>
                <w:ilvl w:val="0"/>
                <w:numId w:val="3"/>
              </w:numPr>
              <w:spacing w:after="0" w:line="240" w:lineRule="auto"/>
              <w:ind w:left="63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adresojë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zgjidhë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lidhen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percaktimin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komponimeve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 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produktet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 </w:t>
            </w:r>
          </w:p>
          <w:p w14:paraId="7C5AD06D" w14:textId="77777777" w:rsidR="00B65D20" w:rsidRDefault="00B65D20" w:rsidP="001669AD">
            <w:pPr>
              <w:numPr>
                <w:ilvl w:val="0"/>
                <w:numId w:val="3"/>
              </w:numPr>
              <w:spacing w:after="0" w:line="240" w:lineRule="auto"/>
              <w:ind w:left="63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Vlerësoj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çfarë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kushte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mund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përftoj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klasë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caktuar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komponimeve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2FAF144" w14:textId="77777777" w:rsidR="00B65D20" w:rsidRDefault="00B65D20" w:rsidP="001669AD">
            <w:pPr>
              <w:numPr>
                <w:ilvl w:val="0"/>
                <w:numId w:val="3"/>
              </w:numPr>
              <w:spacing w:after="0" w:line="240" w:lineRule="auto"/>
              <w:ind w:left="630" w:firstLine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 xml:space="preserve">Marre 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njohuri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mbi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ndarjen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pastrimin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e 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komponimeve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3006875C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5839D1B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Angazhohuni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mësim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vazhdueshëm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duke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qëndruar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përditësuar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njohurite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tuaja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qellim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qe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perballoni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me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lehte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sfidat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risitë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fundit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fushën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shkencës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kimise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vecante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rendesishme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hyrje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shkencat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D20" w14:paraId="5D4DA375" w14:textId="77777777" w:rsidTr="00B65D20">
        <w:trPr>
          <w:trHeight w:val="450"/>
        </w:trPr>
        <w:tc>
          <w:tcPr>
            <w:tcW w:w="1505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0FE01D85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Përmbajtja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91" w:type="dxa"/>
            <w:gridSpan w:val="3"/>
            <w:tcBorders>
              <w:top w:val="single" w:sz="6" w:space="0" w:color="7F7F7F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23D93C7A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Permbajtja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Leksioneve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Plani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javor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shd w:val="clear" w:color="auto" w:fill="F2F2F2"/>
            <w:hideMark/>
          </w:tcPr>
          <w:p w14:paraId="5FF1E0E5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Java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5D20" w14:paraId="15654A86" w14:textId="77777777" w:rsidTr="00B65D20">
        <w:trPr>
          <w:trHeight w:val="63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684996C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E7683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Hyrje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Hidrokarburet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Alkanet, 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kuptimi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vargu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homolog,emertimi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perfitimi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alkaneve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554DB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5D32968C" w14:textId="77777777" w:rsidTr="00B65D20">
        <w:trPr>
          <w:trHeight w:val="45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9E8BEE9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0CE62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Halogjenuret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alkileve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Komponimet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organometalike,Reagjentet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Grinjard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-it, 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Alkenet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dienet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>.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A41FE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23A57758" w14:textId="77777777" w:rsidTr="00B65D20">
        <w:trPr>
          <w:trHeight w:val="61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8C65A90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D411E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Alkinet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acetilidet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komponimet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aliciklike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cikloalkanet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cikloalkenet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Reaksioni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I Diels Alder-it.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2081104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17656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193F8455" w14:textId="77777777" w:rsidTr="00B65D20">
        <w:trPr>
          <w:trHeight w:val="34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DE03AFC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39FD7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Hidrokarburet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aromatike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Benzeni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derivatet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benzenit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7C579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015D44A1" w14:textId="77777777" w:rsidTr="00B65D20">
        <w:trPr>
          <w:trHeight w:val="43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4C46E65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BF766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Arenet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kuptimi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emertimi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perfitimi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areneve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EF4AD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5C1764E3" w14:textId="77777777" w:rsidTr="00B65D20">
        <w:trPr>
          <w:trHeight w:val="91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21E754E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7209C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Komponimet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Heterociklike,klasifikimi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emertimi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heterociklet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peseanetareshe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piroli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furani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tiofeni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Heterociklet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gjashteanetareshe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piridina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AB5A5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072A7EB9" w14:textId="77777777" w:rsidTr="00B65D20">
        <w:trPr>
          <w:trHeight w:val="63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88652AD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E7424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Komponimet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qe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permbajne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oksigjen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Alkoholet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fenolet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emertimi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perfitimi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alkooleve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fenoleve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A52E2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45EC2EA9" w14:textId="77777777" w:rsidTr="00B65D20">
        <w:trPr>
          <w:trHeight w:val="49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44C31CA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EB6CB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Aldehidet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ketonet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emertimi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perfitimi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aldehideve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ketoneve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79498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1839130E" w14:textId="77777777" w:rsidTr="00B65D20">
        <w:trPr>
          <w:trHeight w:val="8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0C6E004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CAC08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karboksilike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emertimi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perfitimi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 tyre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halogjenuret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acideve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amidet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anhidridet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esteret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acideve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079B0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77217397" w14:textId="77777777" w:rsidTr="00B65D20">
        <w:trPr>
          <w:trHeight w:val="55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09CC9D0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72692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Komponimet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qe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permbajne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azot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biokomponimet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98FB277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Aminat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E49C9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6BE58BB2" w14:textId="77777777" w:rsidTr="00B65D20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95C644F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11FA9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  <w:p w14:paraId="1CA884FE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Acidet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larta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lipidet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klasifikimi,Dyllrat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sapunet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, 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2BBA6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0E5D12C9" w14:textId="77777777" w:rsidTr="00B65D20">
        <w:trPr>
          <w:trHeight w:val="60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02D14F0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91CF8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Karbohidratet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klasifikimi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emertimi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Monosaharidet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disaharidet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polisaharidet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Lidhja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glikozide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Aktiviteti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optik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Enantiomeret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93181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5C4A8132" w14:textId="77777777" w:rsidTr="00B65D20">
        <w:trPr>
          <w:trHeight w:val="67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3A6524F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05766" w14:textId="77777777" w:rsidR="00B65D20" w:rsidRDefault="00B65D2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Aminoacidet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klasifikimi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emertimi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Proteinat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Lidhja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peptide, pika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izoelektrike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5AE76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0D2A680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52CF53FE" w14:textId="77777777" w:rsidTr="00B65D20">
        <w:trPr>
          <w:trHeight w:val="30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14B4F61" w14:textId="77777777" w:rsidR="00B65D20" w:rsidRDefault="00B65D2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10B83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rasteve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studimore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3812C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798A5A29" w14:textId="77777777" w:rsidTr="00B65D20">
        <w:trPr>
          <w:trHeight w:val="450"/>
        </w:trPr>
        <w:tc>
          <w:tcPr>
            <w:tcW w:w="1505" w:type="dxa"/>
            <w:tcBorders>
              <w:top w:val="nil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6D61D66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2C200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Vlerësimi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përfundimtar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93BDD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5D20" w14:paraId="30728E20" w14:textId="77777777" w:rsidTr="00B65D20">
        <w:trPr>
          <w:trHeight w:val="300"/>
        </w:trPr>
        <w:tc>
          <w:tcPr>
            <w:tcW w:w="15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4BB1BEAB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7CEC95FC" w14:textId="77777777" w:rsidR="00B65D20" w:rsidRDefault="00B65D20" w:rsidP="001669AD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Suzana Aliu, Gani Kastrati, Fidan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Bazat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kimise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per 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studentet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shkencave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studentet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inxhinjerise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agrokultures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mjedisit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studentet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farmacise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2022, UBT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Prishtine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B42EC05" w14:textId="77777777" w:rsidR="00B65D20" w:rsidRDefault="00B65D20" w:rsidP="001669AD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Nexhat  Daci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Kimia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fourth edition, Libri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Shkollor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2009,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Prishtinë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1653EE0" w14:textId="77777777" w:rsidR="00B65D20" w:rsidRDefault="00B65D20" w:rsidP="001669AD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Wiley Brand, Organic Chemistry 2nd edition, John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Wileyand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Sons, 2014, New Jersey.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42A0704" w14:textId="77777777" w:rsidR="00B65D20" w:rsidRDefault="00B65D20" w:rsidP="001669AD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Francis A. Carey, Organic Chemistry, Mc Graw Hill,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NewYork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2006.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B5C172B" w14:textId="77777777" w:rsidR="00B65D20" w:rsidRDefault="00B65D20" w:rsidP="001669AD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Kaplan Test Prep </w:t>
            </w:r>
            <w:r>
              <w:rPr>
                <w:rFonts w:ascii="Calibri" w:eastAsia="Times New Roman" w:hAnsi="Calibri" w:cs="Calibri"/>
                <w:lang w:val="en-GB"/>
              </w:rPr>
              <w:t xml:space="preserve">MCAT </w:t>
            </w:r>
            <w:r>
              <w:rPr>
                <w:rFonts w:ascii="Calibri" w:eastAsia="Times New Roman" w:hAnsi="Calibri" w:cs="Calibri"/>
                <w:i/>
                <w:iCs/>
                <w:lang w:val="en-GB"/>
              </w:rPr>
              <w:t>Organic Chemistry</w:t>
            </w:r>
            <w:r>
              <w:rPr>
                <w:rFonts w:ascii="Calibri" w:eastAsia="Times New Roman" w:hAnsi="Calibri" w:cs="Calibri"/>
                <w:lang w:val="en-GB"/>
              </w:rPr>
              <w:t xml:space="preserve"> Review 2023-2024, ISBN 9781506283074, July 5, </w:t>
            </w:r>
            <w:r>
              <w:rPr>
                <w:rFonts w:ascii="Calibri" w:eastAsia="Times New Roman" w:hAnsi="Calibri" w:cs="Calibri"/>
                <w:i/>
                <w:iCs/>
                <w:lang w:val="en-GB"/>
              </w:rPr>
              <w:t>2022</w:t>
            </w:r>
            <w:r>
              <w:rPr>
                <w:rFonts w:ascii="Calibri" w:eastAsia="Times New Roman" w:hAnsi="Calibri" w:cs="Calibri"/>
                <w:lang w:val="en-GB"/>
              </w:rPr>
              <w:t xml:space="preserve">.   link: </w:t>
            </w:r>
            <w:hyperlink r:id="rId5" w:tgtFrame="_blank" w:history="1">
              <w:r>
                <w:rPr>
                  <w:rStyle w:val="Hyperlink"/>
                  <w:rFonts w:ascii="Calibri" w:eastAsia="Times New Roman" w:hAnsi="Calibri" w:cs="Calibri"/>
                  <w:i/>
                  <w:iCs/>
                  <w:color w:val="034990"/>
                  <w:lang w:val="en-GB"/>
                </w:rPr>
                <w:t>https://www.amazon.com/MCAT-Organic-Chemistry-Review-2023-2024-dp-1506283071/dp/1506283071/ref=dp_ob_title_bk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6F1A9FB" w14:textId="77777777" w:rsidR="00B65D20" w:rsidRDefault="00B65D20">
            <w:pPr>
              <w:spacing w:after="0" w:line="240" w:lineRule="auto"/>
              <w:ind w:left="72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</w:rPr>
              <w:t> </w:t>
            </w:r>
          </w:p>
          <w:p w14:paraId="4012E89C" w14:textId="77777777" w:rsidR="00B65D20" w:rsidRDefault="00B65D20">
            <w:pPr>
              <w:spacing w:after="0" w:line="240" w:lineRule="auto"/>
              <w:ind w:left="3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B65D20" w14:paraId="1D95F6D8" w14:textId="77777777" w:rsidTr="00B65D20">
        <w:trPr>
          <w:trHeight w:val="300"/>
        </w:trPr>
        <w:tc>
          <w:tcPr>
            <w:tcW w:w="15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5C33938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Kontakti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7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D76D9C9" w14:textId="77777777" w:rsidR="00B65D20" w:rsidRDefault="00B65D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  <w:p w14:paraId="738DAF96" w14:textId="77777777" w:rsidR="00B65D20" w:rsidRDefault="00B65D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GB"/>
              </w:rPr>
              <w:t>suzana.aliu@ubt-uni.net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</w:tbl>
    <w:p w14:paraId="680E8AA7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800F4"/>
    <w:multiLevelType w:val="multilevel"/>
    <w:tmpl w:val="7E3A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756F0C"/>
    <w:multiLevelType w:val="multilevel"/>
    <w:tmpl w:val="F7E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20F71"/>
    <w:multiLevelType w:val="multilevel"/>
    <w:tmpl w:val="45E8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181C6A"/>
    <w:multiLevelType w:val="multilevel"/>
    <w:tmpl w:val="8E18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7597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60775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342065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331990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5C"/>
    <w:rsid w:val="002F71EA"/>
    <w:rsid w:val="00B65D20"/>
    <w:rsid w:val="00E97E5C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75E24-66B8-4FE6-8B8B-A3AE5DD2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D2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MCAT-Organic-Chemistry-Review-2023-2024-dp-1506283071/dp/1506283071/ref=dp_ob_title_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2024-03-28T12:45:00Z</dcterms:created>
  <dcterms:modified xsi:type="dcterms:W3CDTF">2024-03-28T12:45:00Z</dcterms:modified>
</cp:coreProperties>
</file>