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6"/>
        <w:tblW w:w="10255" w:type="dxa"/>
        <w:tblInd w:w="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228"/>
        <w:gridCol w:w="3166"/>
        <w:gridCol w:w="1256"/>
        <w:gridCol w:w="1281"/>
        <w:gridCol w:w="2324"/>
      </w:tblGrid>
      <w:tr w:rsidR="000241BB" w:rsidRPr="000241BB" w14:paraId="7291ED28" w14:textId="77777777" w:rsidTr="000241BB">
        <w:tc>
          <w:tcPr>
            <w:tcW w:w="222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  <w:vAlign w:val="center"/>
          </w:tcPr>
          <w:p w14:paraId="3BE1410C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241BB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Lënda</w:t>
            </w:r>
            <w:proofErr w:type="spellEnd"/>
          </w:p>
          <w:p w14:paraId="4B8940BA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</w:p>
        </w:tc>
        <w:tc>
          <w:tcPr>
            <w:tcW w:w="8027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B84F177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66305086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Fiziologji</w:t>
            </w:r>
            <w:proofErr w:type="spellEnd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njeriut</w:t>
            </w:r>
            <w:proofErr w:type="spellEnd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</w:p>
          <w:p w14:paraId="668E0CE7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0241BB" w:rsidRPr="000241BB" w14:paraId="4FAE140C" w14:textId="77777777" w:rsidTr="000241B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343FF4E" w14:textId="77777777" w:rsidR="000241BB" w:rsidRPr="000241BB" w:rsidRDefault="000241BB" w:rsidP="000241B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42A64334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Llojj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  <w:p w14:paraId="7F6D02FF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418DA10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872612C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ECTS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70681CA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Kodi</w:t>
            </w:r>
          </w:p>
        </w:tc>
      </w:tr>
      <w:tr w:rsidR="000241BB" w:rsidRPr="000241BB" w14:paraId="0A1902C9" w14:textId="77777777" w:rsidTr="000241B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443FF54" w14:textId="77777777" w:rsidR="000241BB" w:rsidRPr="000241BB" w:rsidRDefault="000241BB" w:rsidP="000241B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FA713BB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Obligative (O)</w:t>
            </w:r>
          </w:p>
          <w:p w14:paraId="67ACBB15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6891FFC6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440E4564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288EDD5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130HP324</w:t>
            </w:r>
          </w:p>
        </w:tc>
      </w:tr>
      <w:tr w:rsidR="000241BB" w:rsidRPr="000241BB" w14:paraId="762C9FAE" w14:textId="77777777" w:rsidTr="000241BB">
        <w:trPr>
          <w:trHeight w:hRule="exact" w:val="288"/>
        </w:trPr>
        <w:tc>
          <w:tcPr>
            <w:tcW w:w="2228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7C8C9CFA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Ligjeruesi</w:t>
            </w:r>
            <w:proofErr w:type="spellEnd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i</w:t>
            </w:r>
            <w:proofErr w:type="spellEnd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8027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396F195C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 xml:space="preserve">Prof.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Asoc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Dr.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Pranvera Ibrahimi, Gazmend Spahija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Mr.sci</w:t>
            </w:r>
            <w:proofErr w:type="spellEnd"/>
          </w:p>
        </w:tc>
      </w:tr>
      <w:tr w:rsidR="000241BB" w:rsidRPr="000241BB" w14:paraId="5E792A24" w14:textId="77777777" w:rsidTr="000241BB">
        <w:trPr>
          <w:trHeight w:hRule="exact" w:val="288"/>
        </w:trPr>
        <w:tc>
          <w:tcPr>
            <w:tcW w:w="222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28F6DE6F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Asistenti</w:t>
            </w:r>
            <w:proofErr w:type="spellEnd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i</w:t>
            </w:r>
            <w:proofErr w:type="spellEnd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8027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1C0047E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0241BB" w:rsidRPr="000241BB" w14:paraId="0561F2DE" w14:textId="77777777" w:rsidTr="000241BB">
        <w:trPr>
          <w:trHeight w:hRule="exact" w:val="288"/>
        </w:trPr>
        <w:tc>
          <w:tcPr>
            <w:tcW w:w="2228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69529525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Tutori</w:t>
            </w:r>
            <w:proofErr w:type="spellEnd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i</w:t>
            </w:r>
            <w:proofErr w:type="spellEnd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8027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030A621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0241BB" w:rsidRPr="000241BB" w14:paraId="3685A6EC" w14:textId="77777777" w:rsidTr="000241BB">
        <w:tc>
          <w:tcPr>
            <w:tcW w:w="2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19AEEEF1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Qëllimet</w:t>
            </w:r>
            <w:proofErr w:type="spellEnd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802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711412E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1BFE734E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Qëllimi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këtij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moduli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është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që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mësoj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studentët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principet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themelore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biologjike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mekanizmat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fiziologji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Theks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veçantë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do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vendoset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ne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principet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integruese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fiziologjisë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prej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(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molekule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deri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organizëm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)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mekanizmat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themelor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fiziologjik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adaptimit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tek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njeriu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mekanizmat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hormonal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neural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gjitha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funksionet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vitale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metabolizëm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Mësimim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principeve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themelore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fiziologjike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cilat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janë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nevojshme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për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homeostazën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funksionin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normal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trupit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njohja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fiziologjisë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është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domosdoshme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për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kuptuar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metabolizmin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principet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41BB">
              <w:rPr>
                <w:rFonts w:ascii="Arial" w:eastAsia="Calibri" w:hAnsi="Arial"/>
                <w:sz w:val="20"/>
                <w:szCs w:val="20"/>
              </w:rPr>
              <w:t>nutricioniste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, 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si</w:t>
            </w:r>
            <w:proofErr w:type="spellEnd"/>
            <w:proofErr w:type="gram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njohjen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sëmundjeve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çrregullimet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metabolike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Njohjen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principeve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themelore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fiziologjike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funksionin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sistemeve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organeve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cilat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janë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nevojshme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për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mbajtjen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homeostazës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funksionin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trupit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ju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mundëson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studentëve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Nutricionizmit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qe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bazë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shkencore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mendim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kritik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dijnë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që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çfare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mënyre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ndërlidhin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diturite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mbi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ushqimin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efektin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ushqimit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organizmin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njeriut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Studentët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do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mund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ndërlidhin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mekanizmat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ndërmjet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ushqyerit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paraqitjen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sëmundjeve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përgjithësi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>.</w:t>
            </w:r>
          </w:p>
          <w:p w14:paraId="0B9A38E7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0241BB" w:rsidRPr="000241BB" w14:paraId="66FF7A0D" w14:textId="77777777" w:rsidTr="000241BB">
        <w:trPr>
          <w:trHeight w:val="4040"/>
        </w:trPr>
        <w:tc>
          <w:tcPr>
            <w:tcW w:w="2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40617DA2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Rezultatet</w:t>
            </w:r>
            <w:proofErr w:type="spellEnd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802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71D77C8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40891BE2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shpjegojnë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konceptet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themelore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fiziologjisë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përgjithshme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(</w:t>
            </w:r>
            <w:proofErr w:type="spellStart"/>
            <w:proofErr w:type="gram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Homeostazën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,,</w:t>
            </w:r>
            <w:proofErr w:type="gram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feedback negative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pozitiv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difuzionin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osmozën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tretësirat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izoosmotike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izotnike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pompa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Na/K,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puferët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barazpesha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acido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/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bazike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etj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.);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nndërlidhin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ndërtimin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anatomic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funksionin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sistemit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organeve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për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mbajtur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homeostazën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funksionin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normal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organizmit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njeriut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;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analizojë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funksionin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sistemit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kontrollit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shpjegojë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principet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autokrine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parakine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, endocrine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stimulimet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neuroendokrine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;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shpjegojë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ngjajshmërite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dallimet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kyçe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në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funksionin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muskujve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ndryshëm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roli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aktinës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miozinës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troponinës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në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kontraksionin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muskujve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skeletit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.;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definoj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ndërlidh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fuksionin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sistemit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respirator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urinar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shpjegoj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se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veshkat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sistemi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respiratorë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rregullojnë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pH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plazmës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gjakut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dallojë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acidozën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alkalozën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metabolike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respiratore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;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analizohet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funksioni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sistemit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tretjes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ndërlidhet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me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çrregullimet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themelore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në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ushqyerit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,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parashikohen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pasojat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çrergullimit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respektivisht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parametrat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biometric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shpejtësia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metabolizmit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;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analizojë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funksionin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organizmit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njeriut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zbaton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njohurit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fituara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me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qëllim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sjelljes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përgjegjshme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kundrejt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shëndetit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personal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shëndetit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tjerëve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;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ti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zbatoj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faktet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shkencore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në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shkencën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nutricionizmit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  <w:lang w:bidi="en-US"/>
              </w:rPr>
              <w:t>.</w:t>
            </w:r>
          </w:p>
        </w:tc>
      </w:tr>
      <w:tr w:rsidR="000241BB" w:rsidRPr="000241BB" w14:paraId="00CE9CDC" w14:textId="77777777" w:rsidTr="000241BB">
        <w:trPr>
          <w:trHeight w:hRule="exact" w:val="288"/>
        </w:trPr>
        <w:tc>
          <w:tcPr>
            <w:tcW w:w="222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71FA3377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Përmbajtja</w:t>
            </w:r>
            <w:proofErr w:type="spellEnd"/>
          </w:p>
        </w:tc>
        <w:tc>
          <w:tcPr>
            <w:tcW w:w="5703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269547E8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Plani</w:t>
            </w:r>
            <w:proofErr w:type="spellEnd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javor</w:t>
            </w:r>
            <w:proofErr w:type="spellEnd"/>
          </w:p>
        </w:tc>
        <w:tc>
          <w:tcPr>
            <w:tcW w:w="2324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  <w:hideMark/>
          </w:tcPr>
          <w:p w14:paraId="47F44382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b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Java</w:t>
            </w:r>
          </w:p>
        </w:tc>
      </w:tr>
      <w:tr w:rsidR="000241BB" w:rsidRPr="000241BB" w14:paraId="531813DB" w14:textId="77777777" w:rsidTr="000241B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164541B" w14:textId="77777777" w:rsidR="000241BB" w:rsidRPr="000241BB" w:rsidRDefault="000241BB" w:rsidP="000241B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0FB3B6B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 xml:space="preserve">I.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Hyrje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ne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Fiziologji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1235245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1</w:t>
            </w:r>
          </w:p>
        </w:tc>
      </w:tr>
      <w:tr w:rsidR="000241BB" w:rsidRPr="000241BB" w14:paraId="4D13A40E" w14:textId="77777777" w:rsidTr="000241B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DBE9CE3" w14:textId="77777777" w:rsidR="000241BB" w:rsidRPr="000241BB" w:rsidRDefault="000241BB" w:rsidP="000241B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495929E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  <w:lang w:val="it-IT"/>
              </w:rPr>
              <w:t>2. Membranat qelizore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926B5A8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2</w:t>
            </w:r>
          </w:p>
        </w:tc>
      </w:tr>
      <w:tr w:rsidR="000241BB" w:rsidRPr="000241BB" w14:paraId="75F31260" w14:textId="77777777" w:rsidTr="000241B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5898581" w14:textId="77777777" w:rsidR="000241BB" w:rsidRPr="000241BB" w:rsidRDefault="000241BB" w:rsidP="000241B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7D3663B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 xml:space="preserve">3.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Sistemi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muskulor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4059A08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3</w:t>
            </w:r>
          </w:p>
        </w:tc>
      </w:tr>
      <w:tr w:rsidR="000241BB" w:rsidRPr="000241BB" w14:paraId="18318C76" w14:textId="77777777" w:rsidTr="000241B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914D52E" w14:textId="77777777" w:rsidR="000241BB" w:rsidRPr="000241BB" w:rsidRDefault="000241BB" w:rsidP="000241B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F42F330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 xml:space="preserve">4.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Sistemi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nervor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46788275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4</w:t>
            </w:r>
          </w:p>
        </w:tc>
      </w:tr>
      <w:tr w:rsidR="000241BB" w:rsidRPr="000241BB" w14:paraId="508A0051" w14:textId="77777777" w:rsidTr="000241B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FE6490F" w14:textId="77777777" w:rsidR="000241BB" w:rsidRPr="000241BB" w:rsidRDefault="000241BB" w:rsidP="000241B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08D9527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 xml:space="preserve">5.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Sistemi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kardiovaskular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29F9E55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5</w:t>
            </w:r>
          </w:p>
        </w:tc>
      </w:tr>
      <w:tr w:rsidR="000241BB" w:rsidRPr="000241BB" w14:paraId="6B3C3A50" w14:textId="77777777" w:rsidTr="000241BB">
        <w:trPr>
          <w:trHeight w:hRule="exact" w:val="549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93AF5C5" w14:textId="77777777" w:rsidR="000241BB" w:rsidRPr="000241BB" w:rsidRDefault="000241BB" w:rsidP="000241B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5F3784F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  <w:lang w:val="it-IT"/>
              </w:rPr>
            </w:pPr>
            <w:r w:rsidRPr="000241BB">
              <w:rPr>
                <w:rFonts w:ascii="Arial" w:eastAsia="Calibri" w:hAnsi="Arial"/>
                <w:sz w:val="20"/>
                <w:szCs w:val="20"/>
                <w:lang w:val="it-IT"/>
              </w:rPr>
              <w:t>6. Sistemi imun</w:t>
            </w:r>
          </w:p>
          <w:p w14:paraId="285B3E33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 xml:space="preserve">7.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Kolekviumi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I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4F6DF9A7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6</w:t>
            </w:r>
          </w:p>
          <w:p w14:paraId="490F4E50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7</w:t>
            </w:r>
          </w:p>
        </w:tc>
      </w:tr>
      <w:tr w:rsidR="000241BB" w:rsidRPr="000241BB" w14:paraId="2BA2F4BB" w14:textId="77777777" w:rsidTr="000241B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095F472" w14:textId="77777777" w:rsidR="000241BB" w:rsidRPr="000241BB" w:rsidRDefault="000241BB" w:rsidP="000241B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3CF63C0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 xml:space="preserve">8.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Sistemi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respirator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6328848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8</w:t>
            </w:r>
          </w:p>
        </w:tc>
      </w:tr>
      <w:tr w:rsidR="000241BB" w:rsidRPr="000241BB" w14:paraId="378F7ACF" w14:textId="77777777" w:rsidTr="000241B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5937F77" w14:textId="77777777" w:rsidR="000241BB" w:rsidRPr="000241BB" w:rsidRDefault="000241BB" w:rsidP="000241B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8DCC0A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 xml:space="preserve">9.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Sistemi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urinar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8D968A0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9</w:t>
            </w:r>
          </w:p>
        </w:tc>
      </w:tr>
      <w:tr w:rsidR="000241BB" w:rsidRPr="000241BB" w14:paraId="60366355" w14:textId="77777777" w:rsidTr="000241B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6672DA2" w14:textId="77777777" w:rsidR="000241BB" w:rsidRPr="000241BB" w:rsidRDefault="000241BB" w:rsidP="000241B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E5428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 xml:space="preserve">10.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Sistemi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sensorik</w:t>
            </w:r>
            <w:proofErr w:type="spellEnd"/>
          </w:p>
          <w:p w14:paraId="4AFF2DC4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3A8B8AA0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651EE79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10</w:t>
            </w:r>
          </w:p>
        </w:tc>
      </w:tr>
      <w:tr w:rsidR="000241BB" w:rsidRPr="000241BB" w14:paraId="54CDEC07" w14:textId="77777777" w:rsidTr="000241B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18DA9BE" w14:textId="77777777" w:rsidR="000241BB" w:rsidRPr="000241BB" w:rsidRDefault="000241BB" w:rsidP="000241B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2B5AD26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  <w:lang w:val="it-IT"/>
              </w:rPr>
              <w:t>11. Sistemi digjestiv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EC05D74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11</w:t>
            </w:r>
          </w:p>
        </w:tc>
      </w:tr>
      <w:tr w:rsidR="000241BB" w:rsidRPr="000241BB" w14:paraId="462F36BD" w14:textId="77777777" w:rsidTr="000241B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AE4ADEB" w14:textId="77777777" w:rsidR="000241BB" w:rsidRPr="000241BB" w:rsidRDefault="000241BB" w:rsidP="000241B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F1075C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 xml:space="preserve">12.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Metabolizmi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06B418FC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12</w:t>
            </w:r>
          </w:p>
        </w:tc>
      </w:tr>
      <w:tr w:rsidR="000241BB" w:rsidRPr="000241BB" w14:paraId="073BC39B" w14:textId="77777777" w:rsidTr="000241B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C53DD89" w14:textId="77777777" w:rsidR="000241BB" w:rsidRPr="000241BB" w:rsidRDefault="000241BB" w:rsidP="000241B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8668152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 xml:space="preserve">13.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Sistemi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endokrin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Sistemi</w:t>
            </w:r>
            <w:proofErr w:type="spellEnd"/>
            <w:r w:rsidRPr="000241BB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0241BB">
              <w:rPr>
                <w:rFonts w:ascii="Arial" w:eastAsia="Calibri" w:hAnsi="Arial"/>
                <w:sz w:val="20"/>
                <w:szCs w:val="20"/>
              </w:rPr>
              <w:t>reproduktiv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6F7C1B9A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13</w:t>
            </w:r>
          </w:p>
        </w:tc>
      </w:tr>
      <w:tr w:rsidR="000241BB" w:rsidRPr="000241BB" w14:paraId="48737CC8" w14:textId="77777777" w:rsidTr="000241BB">
        <w:trPr>
          <w:trHeight w:hRule="exact" w:val="83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ACBD113" w14:textId="77777777" w:rsidR="000241BB" w:rsidRPr="000241BB" w:rsidRDefault="000241BB" w:rsidP="000241B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08F7C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42D49C3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0241BB" w:rsidRPr="000241BB" w14:paraId="19EC205C" w14:textId="77777777" w:rsidTr="000241B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186CE50" w14:textId="77777777" w:rsidR="000241BB" w:rsidRPr="000241BB" w:rsidRDefault="000241BB" w:rsidP="000241B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BA59BBD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  <w:lang w:val="it-IT"/>
              </w:rPr>
              <w:t>14. Kolekviumi II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B54A935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14</w:t>
            </w:r>
          </w:p>
        </w:tc>
      </w:tr>
      <w:tr w:rsidR="000241BB" w:rsidRPr="000241BB" w14:paraId="30908EF4" w14:textId="77777777" w:rsidTr="000241BB">
        <w:trPr>
          <w:trHeight w:hRule="exact" w:val="279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2A2358D" w14:textId="77777777" w:rsidR="000241BB" w:rsidRPr="000241BB" w:rsidRDefault="000241BB" w:rsidP="000241B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03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73ED2AAD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  <w:lang w:val="it-IT"/>
              </w:rPr>
            </w:pPr>
            <w:r w:rsidRPr="000241BB">
              <w:rPr>
                <w:rFonts w:ascii="Arial" w:eastAsia="Calibri" w:hAnsi="Arial"/>
                <w:sz w:val="20"/>
                <w:szCs w:val="20"/>
                <w:lang w:val="it-IT"/>
              </w:rPr>
              <w:t>15. Testi final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6C8B217C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15</w:t>
            </w:r>
          </w:p>
        </w:tc>
      </w:tr>
      <w:tr w:rsidR="000241BB" w:rsidRPr="000241BB" w14:paraId="7CDA8C9A" w14:textId="77777777" w:rsidTr="000241BB">
        <w:trPr>
          <w:trHeight w:val="1790"/>
        </w:trPr>
        <w:tc>
          <w:tcPr>
            <w:tcW w:w="2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34C8F8B0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Literatura</w:t>
            </w:r>
            <w:proofErr w:type="spellEnd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/</w:t>
            </w: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Referencat</w:t>
            </w:r>
            <w:proofErr w:type="spellEnd"/>
          </w:p>
        </w:tc>
        <w:tc>
          <w:tcPr>
            <w:tcW w:w="802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14:paraId="1CF94DCF" w14:textId="77777777" w:rsidR="000241BB" w:rsidRPr="000241BB" w:rsidRDefault="000241BB" w:rsidP="000241BB">
            <w:pPr>
              <w:spacing w:line="360" w:lineRule="atLeast"/>
              <w:rPr>
                <w:rFonts w:ascii="Arial" w:eastAsia="Calibri" w:hAnsi="Arial"/>
                <w:color w:val="333333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color w:val="333333"/>
                <w:sz w:val="20"/>
                <w:szCs w:val="20"/>
              </w:rPr>
              <w:t>1. Barrett, K.E. et al. (2012) Ganong's Review of Medical Physiology, McGraw Hill (24</w:t>
            </w:r>
            <w:r w:rsidRPr="000241BB">
              <w:rPr>
                <w:rFonts w:ascii="Arial" w:eastAsia="Calibri" w:hAnsi="Arial"/>
                <w:color w:val="333333"/>
                <w:sz w:val="20"/>
                <w:szCs w:val="20"/>
                <w:vertAlign w:val="superscript"/>
              </w:rPr>
              <w:t>th</w:t>
            </w:r>
            <w:r w:rsidRPr="000241BB">
              <w:rPr>
                <w:rFonts w:ascii="Arial" w:eastAsia="Calibri" w:hAnsi="Arial"/>
                <w:color w:val="333333"/>
                <w:sz w:val="20"/>
                <w:szCs w:val="20"/>
              </w:rPr>
              <w:t> edition)</w:t>
            </w:r>
          </w:p>
          <w:p w14:paraId="232AB7D2" w14:textId="77777777" w:rsidR="000241BB" w:rsidRPr="000241BB" w:rsidRDefault="000241BB" w:rsidP="000241BB">
            <w:pPr>
              <w:spacing w:line="360" w:lineRule="atLeast"/>
              <w:rPr>
                <w:rFonts w:ascii="Arial" w:eastAsia="Calibri" w:hAnsi="Arial"/>
                <w:color w:val="333333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color w:val="333333"/>
                <w:sz w:val="20"/>
                <w:szCs w:val="20"/>
              </w:rPr>
              <w:t>2. Guyton and Hall's Textbook of Medical Physiology (2010) Saunders (12</w:t>
            </w:r>
            <w:r w:rsidRPr="000241BB">
              <w:rPr>
                <w:rFonts w:ascii="Arial" w:eastAsia="Calibri" w:hAnsi="Arial"/>
                <w:color w:val="333333"/>
                <w:sz w:val="20"/>
                <w:szCs w:val="20"/>
                <w:vertAlign w:val="superscript"/>
              </w:rPr>
              <w:t>th</w:t>
            </w:r>
            <w:r w:rsidRPr="000241BB">
              <w:rPr>
                <w:rFonts w:ascii="Arial" w:eastAsia="Calibri" w:hAnsi="Arial"/>
                <w:color w:val="333333"/>
                <w:sz w:val="20"/>
                <w:szCs w:val="20"/>
              </w:rPr>
              <w:t> edition)</w:t>
            </w:r>
          </w:p>
          <w:p w14:paraId="38DAC0EA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 xml:space="preserve">3. </w:t>
            </w:r>
            <w:r w:rsidRPr="000241BB">
              <w:rPr>
                <w:rFonts w:ascii="Arial" w:eastAsia="Calibri" w:hAnsi="Arial"/>
                <w:sz w:val="20"/>
                <w:szCs w:val="20"/>
                <w:shd w:val="clear" w:color="auto" w:fill="FFFFFF"/>
              </w:rPr>
              <w:t xml:space="preserve">Widmaier, E., Raff, H, Strang, K. (2011) Vander's Human Physiology </w:t>
            </w:r>
            <w:proofErr w:type="gramStart"/>
            <w:r w:rsidRPr="000241BB">
              <w:rPr>
                <w:rFonts w:ascii="Arial" w:eastAsia="Calibri" w:hAnsi="Arial"/>
                <w:sz w:val="20"/>
                <w:szCs w:val="20"/>
                <w:shd w:val="clear" w:color="auto" w:fill="FFFFFF"/>
              </w:rPr>
              <w:t>The</w:t>
            </w:r>
            <w:proofErr w:type="gramEnd"/>
            <w:r w:rsidRPr="000241BB">
              <w:rPr>
                <w:rFonts w:ascii="Arial" w:eastAsia="Calibri" w:hAnsi="Arial"/>
                <w:sz w:val="20"/>
                <w:szCs w:val="20"/>
                <w:shd w:val="clear" w:color="auto" w:fill="FFFFFF"/>
              </w:rPr>
              <w:t xml:space="preserve"> Mechanisms of Body Function, McGraw-Hill. (12</w:t>
            </w:r>
            <w:r w:rsidRPr="000241BB">
              <w:rPr>
                <w:rFonts w:ascii="Arial" w:eastAsia="Calibri" w:hAnsi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0241BB">
              <w:rPr>
                <w:rFonts w:ascii="Arial" w:eastAsia="Calibri" w:hAnsi="Arial"/>
                <w:sz w:val="20"/>
                <w:szCs w:val="20"/>
                <w:shd w:val="clear" w:color="auto" w:fill="FFFFFF"/>
              </w:rPr>
              <w:t> edition)</w:t>
            </w:r>
          </w:p>
          <w:p w14:paraId="3B27B1BE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0241BB" w:rsidRPr="000241BB" w14:paraId="6E10F12E" w14:textId="77777777" w:rsidTr="000241BB">
        <w:tc>
          <w:tcPr>
            <w:tcW w:w="2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6750F431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0241BB">
              <w:rPr>
                <w:rFonts w:ascii="Arial" w:eastAsia="Calibri" w:hAnsi="Arial"/>
                <w:b/>
                <w:sz w:val="20"/>
                <w:szCs w:val="20"/>
              </w:rPr>
              <w:t>Kontakti</w:t>
            </w:r>
            <w:proofErr w:type="spellEnd"/>
          </w:p>
        </w:tc>
        <w:tc>
          <w:tcPr>
            <w:tcW w:w="802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7B4EC92" w14:textId="77777777" w:rsidR="000241BB" w:rsidRPr="000241BB" w:rsidRDefault="000241BB" w:rsidP="000241BB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241BB">
              <w:rPr>
                <w:rFonts w:ascii="Arial" w:eastAsia="Calibri" w:hAnsi="Arial"/>
                <w:sz w:val="20"/>
                <w:szCs w:val="20"/>
              </w:rPr>
              <w:t>gazmend.spahija@ubt-uni.net</w:t>
            </w:r>
          </w:p>
          <w:p w14:paraId="62E45EAD" w14:textId="77777777" w:rsidR="000241BB" w:rsidRPr="000241BB" w:rsidRDefault="000241BB" w:rsidP="000241BB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</w:tr>
    </w:tbl>
    <w:p w14:paraId="79E75ADF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21"/>
    <w:rsid w:val="000241BB"/>
    <w:rsid w:val="002F71EA"/>
    <w:rsid w:val="00950A21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E2682-B3C4-49E3-91F8-2A64E646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uiPriority w:val="39"/>
    <w:rsid w:val="000241BB"/>
    <w:pPr>
      <w:spacing w:before="100" w:beforeAutospacing="1" w:after="100" w:afterAutospacing="1" w:line="240" w:lineRule="auto"/>
      <w:jc w:val="both"/>
    </w:pPr>
    <w:rPr>
      <w:rFonts w:ascii="Calibri" w:eastAsia="MS Mincho" w:hAnsi="Calibri" w:cs="Arial"/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2024-03-28T13:34:00Z</dcterms:created>
  <dcterms:modified xsi:type="dcterms:W3CDTF">2024-03-28T13:34:00Z</dcterms:modified>
</cp:coreProperties>
</file>