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186"/>
        <w:gridCol w:w="1246"/>
        <w:gridCol w:w="1884"/>
        <w:gridCol w:w="1143"/>
      </w:tblGrid>
      <w:tr w:rsidR="00C10F0A" w:rsidRPr="00C10F0A" w14:paraId="23992508" w14:textId="77777777" w:rsidTr="00C10F0A">
        <w:trPr>
          <w:trHeight w:val="570"/>
        </w:trPr>
        <w:tc>
          <w:tcPr>
            <w:tcW w:w="1885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7C84EBB1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Lënda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252E19C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10A5DE57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64F59B7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 NË SHËLLIRË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D319E77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620A5680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52E69AA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86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0987CB8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Lloj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4F57025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DBF1FE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Semestri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EDF59BD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ECTS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398297E7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Kodi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44A21120" w14:textId="77777777" w:rsidTr="00C10F0A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1A567AF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86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01876FBB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                             Z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43D61387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        5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06B7FD89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         4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B862764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    /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73094A0" w14:textId="77777777" w:rsidTr="00C10F0A">
        <w:trPr>
          <w:trHeight w:val="360"/>
        </w:trPr>
        <w:tc>
          <w:tcPr>
            <w:tcW w:w="1885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1877E4C0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Ligjeruesi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4A8F5159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Prof. Ass.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Dr.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Mergim MESTANI 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4832F658" w14:textId="77777777" w:rsidTr="00C10F0A">
        <w:trPr>
          <w:trHeight w:val="240"/>
        </w:trPr>
        <w:tc>
          <w:tcPr>
            <w:tcW w:w="1885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1DC2C167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Asistenti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538248E2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37E48FEF" w14:textId="77777777" w:rsidTr="00C10F0A">
        <w:trPr>
          <w:trHeight w:val="285"/>
        </w:trPr>
        <w:tc>
          <w:tcPr>
            <w:tcW w:w="1885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6216B8D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Tutori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B27FB68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343024F7" w14:textId="77777777" w:rsidTr="00C10F0A">
        <w:trPr>
          <w:trHeight w:val="300"/>
        </w:trPr>
        <w:tc>
          <w:tcPr>
            <w:tcW w:w="18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672A4C8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Qëllimet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objektivat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7286826" w14:textId="77777777" w:rsidR="00C10F0A" w:rsidRPr="00C10F0A" w:rsidRDefault="00C10F0A" w:rsidP="00C10F0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shëllirë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me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origjinë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Mesdheu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Lindor, Evropa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Juglindore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Lindja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Mesme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Ballkani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Perëndimor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përfshijnë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mbi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1000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varietete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nivel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global.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Këta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përfshirë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Feta,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Telemea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Bjalo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salamureno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sirene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Beyaz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peynir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Halloumi,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Domiati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shëllirë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ballkanike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tjera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ruhen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maturohen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/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piqen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shëllirë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deri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konsum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Zakonisht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prodhohen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shkallë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vogël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konsumohen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nivel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lokal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;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megjithatë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ato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shfaqin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diversitet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rajonal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Feta,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përjashtim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dukshëm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ka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fituar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popullaritet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ndërkombëtar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falë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teknikave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moderne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prodhimit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shëllirë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prodhuar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lloje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ndryshme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qumështit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shpesh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përzierje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maturohen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solucione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ndryshme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mund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ruhen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pa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patur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nevojë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frigorifer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gjatë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kësaj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ato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pësojnë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ndryshime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biokimike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gjatë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maturimit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. Pa kore/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lëvore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duke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variojnë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buta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gjysmë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forta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ato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nënshtrohen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mpiksjes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mullzë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shëllirë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ose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kriposja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thatë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përdorët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prodhim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Acidifikimi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arrihet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duke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përdorur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kultura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fillestare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tilla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kulturat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termofile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ose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mezofile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mikroflora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qumështit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vendas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Qëllimi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këtij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moduli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është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ofrojë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njohuri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kuptim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gjithëpërfshirës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shëllirosur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/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veçanërisht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atyre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me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origjinë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Mesdheu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Lindor, Evropa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Juglindore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Lindja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Mesme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Ballkani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Perëndimor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Objektivat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modulit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përcaktojë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kategorizojë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t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eksplorojë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varietetet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globale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duke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përfshirë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teknikat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prodhimit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ndryshimet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biokimike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kuptojë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mikroflorën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acidifikimin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analizojë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faktorët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ndikojnë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shijen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nxjerrë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pah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tradicionalë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vendas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me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fokus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veçantë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Sharrit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Rugova.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49240794" w14:textId="77777777" w:rsidTr="00C10F0A">
        <w:trPr>
          <w:trHeight w:val="300"/>
        </w:trPr>
        <w:tc>
          <w:tcPr>
            <w:tcW w:w="18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606E32F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Rezultatet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pritshme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146588B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Pas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përfundimit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këtij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moduli,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studentët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do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gjendje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2BF9780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B23DC85" w14:textId="77777777" w:rsidR="00C10F0A" w:rsidRPr="00C10F0A" w:rsidRDefault="00C10F0A" w:rsidP="00C10F0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përcaktojnë dhe kategorizojnë shumëllojshmërinë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në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shellirë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në nivel global përfshin varietetet si Feta,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Telemea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Bjalo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salamureno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sirene,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Beyaz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peynir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Halloumi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Domiati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, dhe shumë të tjera.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9CFBE0C" w14:textId="77777777" w:rsidR="00C10F0A" w:rsidRPr="00C10F0A" w:rsidRDefault="00C10F0A" w:rsidP="00C10F0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shpjegojnë dhe aplikojnë teknika bazë të prodhimit të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në shëllirë (duke marrë parasysh përdorimin e llojeve të ndryshme të qumështit, proceset e koagulimit me mullëz, proceset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maturimit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dhe teknikat e kripëzimit). 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71BAA321" w14:textId="77777777" w:rsidR="00C10F0A" w:rsidRPr="00C10F0A" w:rsidRDefault="00C10F0A" w:rsidP="00C10F0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kuptojnë rolin e mikroflorës në acidifikimin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të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shëlliruara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/kripura, si dhe ndikimin e kulturave fillestare dhe mikroflorës autoktone në prodhimin e këtyre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;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01121DA" w14:textId="77777777" w:rsidR="00C10F0A" w:rsidRPr="00C10F0A" w:rsidRDefault="00C10F0A" w:rsidP="00C10F0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analizojnë dhe diskutojnë faktorët që ndikojnë në shijen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të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shëllirosur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/kripur, përfshirë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kulturen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, mënyrën e shpërndarjes së kripës, dhe teknikat e prodhimit.;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C4C5B39" w14:textId="77777777" w:rsidR="00C10F0A" w:rsidRPr="00C10F0A" w:rsidRDefault="00C10F0A" w:rsidP="00C10F0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njohin dhe të evidentojnë karakteristikat unike të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tradicionale vendas me shëllirë, me fokus të veçantë në djathin e Sharrit dhe djathin Rugova; 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85467EF" w14:textId="77777777" w:rsidR="00C10F0A" w:rsidRPr="00C10F0A" w:rsidRDefault="00C10F0A" w:rsidP="00C10F0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krahasojnë teknikat e prodhimit të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q-AL"/>
                <w14:ligatures w14:val="none"/>
              </w:rPr>
              <w:t xml:space="preserve"> tradicionalë vendas me ato të teknologjive moderne;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7A33B1D" w14:textId="77777777" w:rsidTr="00C10F0A">
        <w:trPr>
          <w:trHeight w:val="285"/>
        </w:trPr>
        <w:tc>
          <w:tcPr>
            <w:tcW w:w="1885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64384BF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Përmbajtja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16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67484DE7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Plani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javor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5BE191CD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Java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671E646" w14:textId="77777777" w:rsidTr="00C10F0A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C1FB8FA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828F5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Përbërësit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vetitë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qumështit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lloje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ndryshme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kafshëve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82C8C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3C9CBA33" w14:textId="77777777" w:rsidTr="00C10F0A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A9C0F88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C90E0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/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Introduksion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EAB42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5D97FFD9" w14:textId="77777777" w:rsidTr="00C10F0A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3A00B58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0207D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Rëndësia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kripës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prodhimin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pjekjen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teknikat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kripëzimit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B1600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3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03044546" w14:textId="77777777" w:rsidTr="00C10F0A">
        <w:trPr>
          <w:trHeight w:val="3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B3F1FB8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0A14C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Mikrobiologjia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8B714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4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509FBAFA" w14:textId="77777777" w:rsidTr="00C10F0A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5E23B16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19EB9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Feta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përfshirë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Feta Industrial)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306FB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5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4B799704" w14:textId="77777777" w:rsidTr="00C10F0A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AD4E2F6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BE8C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Lindja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Mesme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fokus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Halloumi)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481F021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5F1C9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6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162C4B41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2A35CFB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CB93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Prezantimi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seminareve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individuale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ose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grupore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7B87754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6C2CE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7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650139F7" w14:textId="77777777" w:rsidTr="00C10F0A">
        <w:trPr>
          <w:trHeight w:val="3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C4FBE1A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CBBD8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nga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Lindja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Mesme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fokus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Nabulsi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Damiati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F237C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8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2C6E8C8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B19A479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7BDCE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tradicionale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Turke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94774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9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4C935ECD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3DD30F9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CA515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Varietete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Ballkan 1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14A8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E33EFE8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CA8BC48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FFE2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Varietete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Kripura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Ballkan 2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43FE3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21B5A9EB" w14:textId="77777777" w:rsidTr="00C10F0A">
        <w:trPr>
          <w:trHeight w:val="2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9879D08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FF839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Sharrit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tradicional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lokal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28503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827C35E" w14:textId="77777777" w:rsidTr="00C10F0A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1447071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A713F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Rugovës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djathë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tradicional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lokal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761B1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16B9B0A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0AF1F7D9" w14:textId="77777777" w:rsidTr="00C10F0A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87EED34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EA7B4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Prezantimi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detyrave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projekteve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grupore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466A0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5390B1F7" w14:textId="77777777" w:rsidTr="00C10F0A">
        <w:trPr>
          <w:trHeight w:val="270"/>
        </w:trPr>
        <w:tc>
          <w:tcPr>
            <w:tcW w:w="1885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BDECA3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C1AE2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Provimi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përfundimtar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018B6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1136860" w14:textId="77777777" w:rsidTr="00C10F0A">
        <w:trPr>
          <w:trHeight w:val="285"/>
        </w:trPr>
        <w:tc>
          <w:tcPr>
            <w:tcW w:w="1885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108453E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Metodat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mësimdhënies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5546AB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Aktiviteti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mësimor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38504BC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Pesha (%)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309E21B6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1098210A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4158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Ligjërata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përfshirë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leksionet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ndërvepruese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F961A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40%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1A971E82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3D801AC9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586C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Prezantime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/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seminare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D2B69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251B91BC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327A2005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B1B8A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Punë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grup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C27B2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1E966B90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2DB2AA5F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EC685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Mësimi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bazuar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projekte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A526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32494F79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0BA9351A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6EC5A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Ushtrime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praktike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(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ushtrime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laboratorike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)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62499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20%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D36A447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448EF17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D092125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621559DC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417AB64A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00CDA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Eksplorimi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praktik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industrinë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ushqimore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9C41D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9110486" w14:textId="77777777" w:rsidTr="00C10F0A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68253824" w14:textId="77777777" w:rsidR="00C10F0A" w:rsidRPr="00C10F0A" w:rsidRDefault="00C10F0A" w:rsidP="00C10F0A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BA81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AE99D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10328BFA" w14:textId="77777777" w:rsidTr="00C10F0A">
        <w:trPr>
          <w:trHeight w:val="300"/>
        </w:trPr>
        <w:tc>
          <w:tcPr>
            <w:tcW w:w="18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CE77661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Literatura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6B517B7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Anifantakis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, E.M., 1991. Traditional feta cheese. Feta and related cheeses, pp.49-69.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C5BB554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Ajazi, F.C.,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Kurteshi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, K., Ehrmann, M.A., Gecaj, R., Ismajli, M., Berisha, B. and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Vehapi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 I., 2018. MICROBIOLOGICAL STUDY OF TRADITIONAL CHEESE PRODUCED IN RUGOVA REGION OF KOSOVO.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Bulgarian Journal of Agricultural Science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24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(2).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  <w:p w14:paraId="05481616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Bintsis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T.,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Alichanidis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E.,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Uzunsoy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İ., Özer, B.,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Papademas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, P., Radulovic, Z. and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Miocinovic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, J., 2017. White‐Brined Cheeses. Global Cheesemaking Technology: Cheese Quality and Characteristics, pp.349-367.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983F0CE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El-Bakry, M., 2012. Salt in Cheese: A Review.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Current Research in Dairy Sciences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4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(1), pp.1-5.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  <w:p w14:paraId="15B9EC20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Hamad, M.N.F., 2015. Comparative study between traditional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Domiati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 cheese and recombined Feta cheese. Indian J. Dairy Sci, 68(5), pp.442-452.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8A44093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Hayaloglu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 A.A., Ozer, B.H. and Fox, P.F., 2008. Cheeses of Turkey: 2. Varieties ripened under brine.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Dairy Science and Technology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88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(2), pp.225-244.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  <w:p w14:paraId="704DFCAC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Mergim Mestani1,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Xhavit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Ramadani1, Tahire Maloku Gjergji2,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Hajrip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Mehmeti 1, Arsim Ademi 3 and Ibrahim Mehmeti1,3*. (2017). The effect of saline concentration and storage temperature in the quality of Sharri cheese. Journal of Food, Agriculture &amp; Environment, vol.15 (1): 12-17. 2017. 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  <w:p w14:paraId="7AE3584E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Mestani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, M., Ramadani, X., Gjergji, T.M., Dizdarevic, T. and Mehmeti, I., 2017. Influence of brine concentration and ripening temperature on quality of </w:t>
            </w: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sharri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cheese.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  <w:p w14:paraId="7EBF920E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Tamime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, A.Y. ed., 2008. Brined cheeses. John Wiley &amp; Sons.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6532EAE" w14:textId="77777777" w:rsidR="00C10F0A" w:rsidRPr="00C10F0A" w:rsidRDefault="00C10F0A" w:rsidP="00C10F0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Toufeili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 I. and Özer, B., 2006. Brined cheeses from the Middle East and Turkey. </w:t>
            </w:r>
            <w:r w:rsidRPr="00C10F0A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Brined Cheeses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  <w14:ligatures w14:val="none"/>
              </w:rPr>
              <w:t>, pp.188-210.</w:t>
            </w:r>
            <w:r w:rsidRPr="00C10F0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0F0A" w:rsidRPr="00C10F0A" w14:paraId="7F0E5EBE" w14:textId="77777777" w:rsidTr="00C10F0A">
        <w:trPr>
          <w:trHeight w:val="300"/>
        </w:trPr>
        <w:tc>
          <w:tcPr>
            <w:tcW w:w="18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E30A339" w14:textId="77777777" w:rsidR="00C10F0A" w:rsidRPr="00C10F0A" w:rsidRDefault="00C10F0A" w:rsidP="00C10F0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Kontakti</w:t>
            </w:r>
            <w:proofErr w:type="spellEnd"/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AF2C4C2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E73147A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hyperlink r:id="rId5" w:tgtFrame="_blank" w:history="1">
              <w:r w:rsidRPr="00C10F0A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mergim.mestani@ubt-uni.net</w:t>
              </w:r>
            </w:hyperlink>
            <w:r w:rsidRPr="00C10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val="en-GB"/>
                <w14:ligatures w14:val="none"/>
              </w:rPr>
              <w:t> </w:t>
            </w: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FE56988" w14:textId="77777777" w:rsidR="00C10F0A" w:rsidRPr="00C10F0A" w:rsidRDefault="00C10F0A" w:rsidP="00C10F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10F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7CF2786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65B6E"/>
    <w:multiLevelType w:val="multilevel"/>
    <w:tmpl w:val="AEF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70369A"/>
    <w:multiLevelType w:val="multilevel"/>
    <w:tmpl w:val="FD8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9768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97916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A"/>
    <w:rsid w:val="002B456A"/>
    <w:rsid w:val="002F71EA"/>
    <w:rsid w:val="00C10F0A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F761-BF57-4A7B-86A4-58B4206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gim.mest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2024-03-28T13:20:00Z</dcterms:created>
  <dcterms:modified xsi:type="dcterms:W3CDTF">2024-03-28T13:20:00Z</dcterms:modified>
</cp:coreProperties>
</file>