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460"/>
        <w:gridCol w:w="1098"/>
        <w:gridCol w:w="1836"/>
        <w:gridCol w:w="1366"/>
      </w:tblGrid>
      <w:tr w:rsidR="00E636C0" w14:paraId="2231F57D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D941C2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Lënda: 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9506D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5F1EE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Zhanret e gazetarisë</w:t>
            </w:r>
          </w:p>
        </w:tc>
      </w:tr>
      <w:tr w:rsidR="00E636C0" w14:paraId="232C445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1A38743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900CA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Lloj</w:t>
            </w:r>
          </w:p>
          <w:p w14:paraId="07F00B25" w14:textId="77777777" w:rsidR="00E636C0" w:rsidRDefault="00E636C0" w:rsidP="004A16DA">
            <w:pPr>
              <w:spacing w:after="0" w:line="240" w:lineRule="auto"/>
              <w:jc w:val="both"/>
            </w:pP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8420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Semestri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3A4AEE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ECTS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96960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Kodi</w:t>
            </w:r>
          </w:p>
        </w:tc>
      </w:tr>
      <w:tr w:rsidR="00E636C0" w14:paraId="2FDBB81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446ADD8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83B6B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OBLIGATIVE (O)</w:t>
            </w:r>
          </w:p>
          <w:p w14:paraId="435C4CC4" w14:textId="77777777" w:rsidR="00E636C0" w:rsidRDefault="00E636C0" w:rsidP="004A16DA">
            <w:pPr>
              <w:spacing w:after="0" w:line="240" w:lineRule="auto"/>
              <w:jc w:val="both"/>
            </w:pP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9CD53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6C5FC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656C6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90JOG104</w:t>
            </w:r>
          </w:p>
        </w:tc>
      </w:tr>
      <w:tr w:rsidR="00E636C0" w14:paraId="0B4816D2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B31C26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Ligjëruesi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C2C9B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Sabedini</w:t>
            </w:r>
            <w:proofErr w:type="spellEnd"/>
          </w:p>
        </w:tc>
      </w:tr>
      <w:tr w:rsidR="00E636C0" w14:paraId="180D1E64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7A027F7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Asistenti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A18FC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 Shkodran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Gajraku</w:t>
            </w:r>
            <w:proofErr w:type="spellEnd"/>
          </w:p>
        </w:tc>
      </w:tr>
      <w:tr w:rsidR="00E636C0" w14:paraId="48F049B4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A53A790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Tutori i lëndës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012DD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2EF7ACC9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54858AE" w14:textId="77777777" w:rsidR="00E636C0" w:rsidRDefault="00E636C0" w:rsidP="004A16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Qëllimet dhe Objektivat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E055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70DD8B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EFEDF8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Ligjërimi i kësaj lënde ka për qëllim që studentëve të vitit të parë t’u japë njohuritë bazike për ndarjet tipologjike të gazetarisë, për nocionet që lidhen me këtë fushë, për zhanret e gazetarisë, për llojet e nënllojet e shkrimit gazetaresk; t’i aftësojë ata për të sajuar cilindo nga llojet apo nënllojet e shkrimit gazetaresk, për lidhjen e shkrimit gazetaresk me atë letrar dhe me metodologjinë shkencore të hulumtimit; t’u japë dijen e duhur dhe t’u krijojë shkathtësinë e nevojshme për të mbledhë informacionin, për ta përpunuar atë dhe për të krijuar prej tyre formën e dëshiruar të shkrimit gazetaresk; t’ua bëjë të njohur ndikimin e gazetarisë, në veçanti të zhanreve të saja në rrethe të caktuara shoqërore; po ashtu, programi i kësaj lënde ka për qëllim aftësimin e studentëve në mënyrë që ata të bartin përvojat e fituara edhe te të tjerët.</w:t>
            </w:r>
          </w:p>
          <w:p w14:paraId="20892015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A08910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B716EE" w14:textId="77777777" w:rsidR="00E636C0" w:rsidRDefault="00E636C0" w:rsidP="004A16DA">
            <w:pPr>
              <w:spacing w:after="0" w:line="240" w:lineRule="auto"/>
              <w:jc w:val="both"/>
            </w:pPr>
          </w:p>
        </w:tc>
      </w:tr>
      <w:tr w:rsidR="00E636C0" w14:paraId="6C3E4D56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EAC6C77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Rezultatet e pritshme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9FC13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D86601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 përfundimit të këtij kursi, studenti do të jetë në gjendje të:</w:t>
            </w:r>
          </w:p>
          <w:p w14:paraId="6ACE0CED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D2D4C2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Kupton tipologjinë e gazetarisë në shumë forma, por veçanërisht tipologjinë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zhanrore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Kupton dallimet themelore midis gazetarisë informative, gazetarisë analitike dhe gazetarisë letrare (publicistikës).</w:t>
            </w:r>
          </w:p>
          <w:p w14:paraId="1C390FA3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Përvetëson strukturën tekstore dhe qëllimin përmbajtjesor të lajmit, të raportit, të editorialit, të komentit, të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kolumnës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të intervistës, të artikullit analitik, të dosjes, të reportazhit, të pamfletit, të polemikës, të fejtonit, të udhëpërshkrimit, të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udhërrëfimit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të esesë, të formave të shkurtra të publicistikës.</w:t>
            </w:r>
          </w:p>
          <w:p w14:paraId="5419AF1D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Përfundimisht studenti duhet të aftësohet të dallojë, edhe në bazë të rregullave teorike po edhe në praktikë, secilin lloj gazetar nga tërësia e llojeve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zhanrore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dhe duhet të aftësohet të shkruaj secilin lloj gazetar.</w:t>
            </w:r>
          </w:p>
          <w:p w14:paraId="785FCFA3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Studenti përvetëson teknikën e shkrimit të llojeve të ndryshme gazetare, strukturën tekstore dhe përmbajtjesore të secilit lloj, gjuhën e llojit, përdorimin e burimeve të lajmit dhe të burimeve të tjera informative dhe kontekstin kur përdoret një lloj gazetar.</w:t>
            </w:r>
          </w:p>
          <w:p w14:paraId="0EAD93D5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0D1058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38E21F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47BD84" w14:textId="77777777" w:rsidR="00E636C0" w:rsidRDefault="00E636C0" w:rsidP="004A16DA">
            <w:pPr>
              <w:spacing w:after="0" w:line="240" w:lineRule="auto"/>
              <w:jc w:val="both"/>
            </w:pPr>
          </w:p>
        </w:tc>
      </w:tr>
      <w:tr w:rsidR="00E636C0" w14:paraId="3783A5FA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D29DB06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Përmbajtja</w:t>
            </w: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4358B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Plani javor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6F076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Java</w:t>
            </w:r>
          </w:p>
        </w:tc>
      </w:tr>
      <w:tr w:rsidR="00E636C0" w14:paraId="623C9B3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08329C2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5CB52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Hyrje, prezantimi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Syllabusit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EC71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36C0" w14:paraId="52EF3CC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A1B89F6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7B4F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Zhanret e gazetarisë, Ndarjet tipologjike të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Tipologjia sipas mediumit. Tipologjia sipas faktorit kohë. Tipologjia sipas profilit social e profesional.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507B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36C0" w14:paraId="71A237B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EFC4E34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F08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Teoria tipologjike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zhanrore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(Tipologjia sipas strukturës dhe qëllimit përmbajtjesor së tekstit gazetar).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8BB31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6C0" w14:paraId="526BA84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7405D7D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F87E8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Gazetaria informative. Lajmi. Raporti.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DC718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636C0" w14:paraId="4A7FACA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7238D5A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27C33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Gazetaria analitike. Editoriali. (detyrë shtëpie). Artikulli analitik (analiza),  (detyrë shtëpie; seminar)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ADCE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36C0" w14:paraId="5C65B4C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F0F3CF7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28F5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Komenti. (detyrë shtëpie); Artikulli analitik (analiza). (detyrë shtëpie; seminar)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04FA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636C0" w14:paraId="45F78172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4D4F47C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09BF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Intervista (detyrë shtëpie, seminar) Dosja. (detyrë shtëpie; seminar)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6AFE9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636C0" w14:paraId="14190DC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32DB95F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D4BE0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Gazetaria letrare (Publicistika). Afërsia dhe dallimi i gazetarisë me letërsinë. Publicistika dhe letërsia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joartistike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4AC77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636C0" w14:paraId="4404435F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03235C8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F842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Testi i ndërmjetëm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1DFD2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636C0" w14:paraId="0FD6B331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299634F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3B8B3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Reportazhi (detyrë shtëpie)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16D31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636C0" w14:paraId="20510F4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AA51B3B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28002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Udhëpërshkrimi,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Udhërrëfimi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BF84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636C0" w14:paraId="423CAD1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0C41F50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17F4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Pamfleti, Polemika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DC7F5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636C0" w14:paraId="2F6ABBC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CC90FD7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185B2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Recensioni,  Bibliografia (detyrë shtëpie) 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2C84A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E636C0" w14:paraId="26C375B4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CB3066E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7FD4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Forma të shkurtra të gazetarisë letrare: Skica, Shënimi, Kozeria, Portreti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C801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636C0" w14:paraId="0BC68674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3873BBB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B3765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Provimi final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FBF3" w14:textId="77777777" w:rsidR="00E636C0" w:rsidRDefault="00E636C0" w:rsidP="004A16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636C0" w14:paraId="0682696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A20B634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ACD38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BF80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</w:p>
        </w:tc>
      </w:tr>
      <w:tr w:rsidR="00E636C0" w14:paraId="7C081221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411FDA4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C4E06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A2708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2432A1CC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CAC6CFB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DDDAFB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Ngarkesa dhe aktivitetet</w:t>
            </w: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B448B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Aktiviteti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15765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Pesha (%)</w:t>
            </w:r>
          </w:p>
        </w:tc>
      </w:tr>
      <w:tr w:rsidR="00E636C0" w14:paraId="09ACFE4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575DC5C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99AD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5D0A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11B5CB4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CA3EC18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529B0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1E07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44CEFA2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6437F38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2B75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4167A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473871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3603822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65B80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10D99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4AFCE49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F125566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2EE04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DFA0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4BF64CA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2DABBDD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5F7E8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46B53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3E6BBE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2E7AC76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00621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02F7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6ED31AB1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5C3AEFC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F58D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513BD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54D1AD4F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3B3DAC2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Metodat e vlerësimit</w:t>
            </w: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C1208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Aktiviteti i vlerësimit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C704F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Numri 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D5168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Java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8B9ED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Pesha (%)</w:t>
            </w:r>
          </w:p>
        </w:tc>
      </w:tr>
      <w:tr w:rsidR="00E636C0" w14:paraId="0EE5980E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0AF2A557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B4D4" w14:textId="77777777" w:rsidR="00E636C0" w:rsidRDefault="00E636C0" w:rsidP="00E636C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Aktiviteti, Pjesëmarrja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EE1AA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3F686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1,2, 3, 5,6,8,9,10,11,12, 13, 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53C43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E636C0" w14:paraId="1F32EB01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19071007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A633" w14:textId="77777777" w:rsidR="00E636C0" w:rsidRDefault="00E636C0" w:rsidP="00E636C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Seminar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ABB35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CC170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5AFB8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E636C0" w14:paraId="426455E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7F6E51F0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5674" w14:textId="77777777" w:rsidR="00E636C0" w:rsidRDefault="00E636C0" w:rsidP="00E636C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Ushtrimet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37A22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239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1,2, 3, 5,6,8,9,10,11,12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F75BB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</w:tr>
      <w:tr w:rsidR="00E636C0" w14:paraId="1FA9B26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1E40905B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BC31" w14:textId="77777777" w:rsidR="00E636C0" w:rsidRDefault="00E636C0" w:rsidP="00E636C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Provim përfundimtar</w:t>
            </w:r>
          </w:p>
          <w:p w14:paraId="3AB66211" w14:textId="77777777" w:rsidR="00E636C0" w:rsidRDefault="00E636C0" w:rsidP="00E636C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Testi  i ndërmjetëm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FDD9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16030EE1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E8531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14:paraId="5B285CCD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008F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  <w:p w14:paraId="748B50D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</w:tr>
      <w:tr w:rsidR="00E636C0" w14:paraId="6653659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4C2E1952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E3AF4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6627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3B2E5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2D508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0CC3297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286CB828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1A4C1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0-49 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5</w:t>
            </w:r>
          </w:p>
          <w:p w14:paraId="047A723C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- 50-59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</w:p>
          <w:p w14:paraId="687D0D7C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- 60-69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7</w:t>
            </w:r>
          </w:p>
          <w:p w14:paraId="207B35E6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- 70-79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8</w:t>
            </w:r>
          </w:p>
          <w:p w14:paraId="31CF88F4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- 80-89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9</w:t>
            </w:r>
          </w:p>
          <w:p w14:paraId="01C5CEA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- 90-100 pikë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10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5F0F4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98607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78CAB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1B101E2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64BDCD15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183B5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91DD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6C6B2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546F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39E01A5D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EA239F5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Burimet dhe mjetet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konretizimit</w:t>
            </w:r>
            <w:proofErr w:type="spellEnd"/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6336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Mjetet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F20F5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Numri</w:t>
            </w:r>
          </w:p>
        </w:tc>
      </w:tr>
      <w:tr w:rsidR="00E636C0" w14:paraId="1686B459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56046F0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4745" w14:textId="77777777" w:rsidR="00E636C0" w:rsidRDefault="00E636C0" w:rsidP="00E636C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Klase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0F2FE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36C0" w14:paraId="137A70EC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8C1650A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E1F01" w14:textId="77777777" w:rsidR="00E636C0" w:rsidRDefault="00E636C0" w:rsidP="00E636C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Projektor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83231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36C0" w14:paraId="43070862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B4ACF85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80D96" w14:textId="77777777" w:rsidR="00E636C0" w:rsidRDefault="00E636C0" w:rsidP="00E636C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Moodle</w:t>
            </w:r>
            <w:proofErr w:type="spellEnd"/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1F64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36C0" w14:paraId="2A669505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FD97542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6720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2419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ECE10A8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C6FB4A9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29B0D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30B87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F14B53A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261FC56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3A18" w14:textId="77777777" w:rsidR="00E636C0" w:rsidRDefault="00E636C0" w:rsidP="004A16DA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962B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4FE68E82" w14:textId="77777777" w:rsidTr="004A16DA">
        <w:trPr>
          <w:trHeight w:val="1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8796875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Metodat e mësimdhënies</w:t>
            </w: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92A0B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Lloji i aktivitetit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EC42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Orë javore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1C68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Ngarkesa total</w:t>
            </w:r>
          </w:p>
        </w:tc>
      </w:tr>
      <w:tr w:rsidR="00E636C0" w14:paraId="574D0E9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AF5EB10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7BCD9" w14:textId="77777777" w:rsidR="00E636C0" w:rsidRDefault="00E636C0" w:rsidP="00E636C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Gjithsej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ligjerata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dhe ushtrime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AA3A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2+1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1AEF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E636C0" w14:paraId="4B3F340D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2350FBE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CCE9" w14:textId="77777777" w:rsidR="00E636C0" w:rsidRDefault="00E636C0" w:rsidP="00E636C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Metodat e tjera të mësimdhënies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B4CC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2F21D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E636C0" w14:paraId="671A5050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2BCB7AE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69B3" w14:textId="77777777" w:rsidR="00E636C0" w:rsidRDefault="00E636C0" w:rsidP="00E636C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Studimet vetjake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6C98D" w14:textId="77777777" w:rsidR="00E636C0" w:rsidRDefault="00E636C0" w:rsidP="004A16DA">
            <w:pPr>
              <w:spacing w:after="0" w:line="240" w:lineRule="auto"/>
              <w:jc w:val="both"/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EF1AD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E636C0" w14:paraId="7DD6EC26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787FE6D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894FB" w14:textId="77777777" w:rsidR="00E636C0" w:rsidRDefault="00E636C0" w:rsidP="00E636C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Gjithsej ligjërata dhe studime vetjake</w:t>
            </w: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844EB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95C9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636C0" w14:paraId="405908BF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92E6D7C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AF54E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8136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C038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5DAEA453" w14:textId="77777777" w:rsidTr="004A16DA">
        <w:trPr>
          <w:trHeight w:val="1"/>
        </w:trPr>
        <w:tc>
          <w:tcPr>
            <w:tcW w:w="2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2B17083" w14:textId="77777777" w:rsidR="00E636C0" w:rsidRDefault="00E636C0" w:rsidP="004A16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6255C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171C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75B18" w14:textId="77777777" w:rsidR="00E636C0" w:rsidRDefault="00E636C0" w:rsidP="004A16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36C0" w14:paraId="749EAD96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FE2E09E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Literatura/Referencat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FC66C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FBD979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Dr. Bajram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Kosumi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Zhanret e gazetarisë II [Koncept i ligjëratave të autorizuara vetëm për përdorim të studentëve të Programit Gazetari dhe komunikim].</w:t>
            </w:r>
          </w:p>
          <w:p w14:paraId="36D2F8A9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Dr. Bajram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Kosumi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Teori tipologjike e gazetarisë, në revistën kërkimore MEDIA,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2, UP, 2010.</w:t>
            </w:r>
          </w:p>
          <w:p w14:paraId="569A2F0E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Raportimi dhe shkrimi i lajmit, Tiranë 1998.</w:t>
            </w:r>
          </w:p>
          <w:p w14:paraId="740C06BF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Boriçi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Gazetaria 2, SHBLU, Tiranë, 2004.</w:t>
            </w:r>
          </w:p>
          <w:p w14:paraId="0C6BC55A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Randall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Gazetari universal, ISHM, Tiranë, 2003.</w:t>
            </w:r>
          </w:p>
          <w:p w14:paraId="1D7EB9D5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Manual për gazetarët e Europës Qendrore dhe Lindore, redaktuar 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Malcolm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(përkthyer nga Ilir Ikonomi), Dituria, Tiranë, 2003.</w:t>
            </w:r>
          </w:p>
          <w:p w14:paraId="21ABD355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D72B22" w14:textId="77777777" w:rsidR="00E636C0" w:rsidRDefault="00E636C0" w:rsidP="004A16DA">
            <w:pPr>
              <w:spacing w:after="0" w:line="240" w:lineRule="auto"/>
              <w:jc w:val="both"/>
            </w:pPr>
          </w:p>
        </w:tc>
      </w:tr>
      <w:tr w:rsidR="00E636C0" w14:paraId="3738D172" w14:textId="77777777" w:rsidTr="004A16DA">
        <w:trPr>
          <w:trHeight w:val="1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6764576" w14:textId="77777777" w:rsidR="00E636C0" w:rsidRDefault="00E636C0" w:rsidP="004A16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Kontakti</w:t>
            </w:r>
          </w:p>
        </w:tc>
        <w:tc>
          <w:tcPr>
            <w:tcW w:w="67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7DFD" w14:textId="77777777" w:rsidR="00E636C0" w:rsidRDefault="00E636C0" w:rsidP="004A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14F646" w14:textId="77777777" w:rsidR="00E636C0" w:rsidRDefault="00E636C0" w:rsidP="004A16DA">
            <w:pPr>
              <w:spacing w:after="0" w:line="240" w:lineRule="auto"/>
              <w:jc w:val="both"/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</w:rPr>
                <w:t>musa.sabedini@ubt-uni.net</w:t>
              </w:r>
            </w:hyperlink>
          </w:p>
        </w:tc>
      </w:tr>
    </w:tbl>
    <w:p w14:paraId="2C7DBC74" w14:textId="50ABAD74" w:rsidR="00CD52B1" w:rsidRDefault="00AF7FAC">
      <w:r>
        <w:t xml:space="preserve"> </w:t>
      </w:r>
    </w:p>
    <w:sectPr w:rsidR="00CD52B1" w:rsidSect="00356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CF1"/>
    <w:multiLevelType w:val="multilevel"/>
    <w:tmpl w:val="C6F08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5434E"/>
    <w:multiLevelType w:val="multilevel"/>
    <w:tmpl w:val="8F0E7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C1291"/>
    <w:multiLevelType w:val="multilevel"/>
    <w:tmpl w:val="E9F6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D76F2"/>
    <w:multiLevelType w:val="multilevel"/>
    <w:tmpl w:val="FE744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80E0A"/>
    <w:multiLevelType w:val="multilevel"/>
    <w:tmpl w:val="AB3A5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9E3889"/>
    <w:multiLevelType w:val="multilevel"/>
    <w:tmpl w:val="439AE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F357C"/>
    <w:multiLevelType w:val="multilevel"/>
    <w:tmpl w:val="23C23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24C20"/>
    <w:multiLevelType w:val="multilevel"/>
    <w:tmpl w:val="6574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624"/>
    <w:multiLevelType w:val="multilevel"/>
    <w:tmpl w:val="984A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57980"/>
    <w:multiLevelType w:val="multilevel"/>
    <w:tmpl w:val="DB085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885AFF"/>
    <w:multiLevelType w:val="multilevel"/>
    <w:tmpl w:val="5FBE6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4577063">
    <w:abstractNumId w:val="2"/>
  </w:num>
  <w:num w:numId="2" w16cid:durableId="527911534">
    <w:abstractNumId w:val="1"/>
  </w:num>
  <w:num w:numId="3" w16cid:durableId="1545025271">
    <w:abstractNumId w:val="4"/>
  </w:num>
  <w:num w:numId="4" w16cid:durableId="2118988465">
    <w:abstractNumId w:val="10"/>
  </w:num>
  <w:num w:numId="5" w16cid:durableId="276261321">
    <w:abstractNumId w:val="3"/>
  </w:num>
  <w:num w:numId="6" w16cid:durableId="2123109528">
    <w:abstractNumId w:val="0"/>
  </w:num>
  <w:num w:numId="7" w16cid:durableId="1310937368">
    <w:abstractNumId w:val="8"/>
  </w:num>
  <w:num w:numId="8" w16cid:durableId="1706056863">
    <w:abstractNumId w:val="6"/>
  </w:num>
  <w:num w:numId="9" w16cid:durableId="480078754">
    <w:abstractNumId w:val="7"/>
  </w:num>
  <w:num w:numId="10" w16cid:durableId="716243135">
    <w:abstractNumId w:val="5"/>
  </w:num>
  <w:num w:numId="11" w16cid:durableId="930626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2"/>
    <w:rsid w:val="00356CEE"/>
    <w:rsid w:val="00675C72"/>
    <w:rsid w:val="007B3C52"/>
    <w:rsid w:val="00AF7FAC"/>
    <w:rsid w:val="00B26203"/>
    <w:rsid w:val="00CD52B1"/>
    <w:rsid w:val="00E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95A6"/>
  <w15:chartTrackingRefBased/>
  <w15:docId w15:val="{D48438E1-F44F-4B01-A302-8E60F6F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C0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a.sabedi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4</cp:revision>
  <dcterms:created xsi:type="dcterms:W3CDTF">2024-02-08T11:07:00Z</dcterms:created>
  <dcterms:modified xsi:type="dcterms:W3CDTF">2024-02-08T11:32:00Z</dcterms:modified>
</cp:coreProperties>
</file>