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1"/>
        <w:gridCol w:w="3228"/>
        <w:gridCol w:w="296"/>
        <w:gridCol w:w="958"/>
        <w:gridCol w:w="1286"/>
        <w:gridCol w:w="1621"/>
      </w:tblGrid>
      <w:tr w:rsidR="0084458F" w:rsidRPr="00CE1E30" w14:paraId="5D2A3A88" w14:textId="77777777" w:rsidTr="006002CA"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258A983" w14:textId="0BE02501" w:rsidR="0084458F" w:rsidRPr="001B274E" w:rsidRDefault="006002CA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Lënda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9" w:type="dxa"/>
            <w:gridSpan w:val="5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EABCABF" w14:textId="6C76671F" w:rsidR="0084458F" w:rsidRPr="001B274E" w:rsidRDefault="00FF44A6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Shkenca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Forenzike</w:t>
            </w:r>
            <w:proofErr w:type="spellEnd"/>
          </w:p>
          <w:p w14:paraId="45AB7166" w14:textId="3FB78666" w:rsidR="006002CA" w:rsidRPr="00021F53" w:rsidRDefault="006002CA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58F" w:rsidRPr="001B34CE" w14:paraId="6496BFB3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8146380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0139F527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Lloji</w:t>
            </w:r>
            <w:proofErr w:type="spellEnd"/>
          </w:p>
          <w:p w14:paraId="277E8FDE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62020E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3F5A039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311097A7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Kodi</w:t>
            </w:r>
          </w:p>
        </w:tc>
      </w:tr>
      <w:tr w:rsidR="0084458F" w:rsidRPr="001B34CE" w14:paraId="65FBE076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64534A9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801E9D3" w14:textId="7AF319F3" w:rsidR="0084458F" w:rsidRPr="001B34CE" w:rsidRDefault="006002C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</w:rPr>
              <w:t>Zgjedhore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r w:rsidR="0084458F">
              <w:rPr>
                <w:rFonts w:ascii="Arial" w:hAnsi="Arial" w:cs="Arial"/>
                <w:color w:val="404040"/>
                <w:sz w:val="17"/>
                <w:szCs w:val="17"/>
              </w:rPr>
              <w:t>(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Z</w:t>
            </w:r>
            <w:r w:rsidR="0084458F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C74007E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43CE7F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955A730" w14:textId="2A16B55F" w:rsidR="0084458F" w:rsidRPr="001B34CE" w:rsidRDefault="00785BF9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CLP-Z</w:t>
            </w:r>
            <w:r w:rsidR="0084458F">
              <w:rPr>
                <w:rFonts w:ascii="Arial" w:hAnsi="Arial" w:cs="Arial"/>
                <w:color w:val="404040"/>
                <w:sz w:val="17"/>
                <w:szCs w:val="17"/>
              </w:rPr>
              <w:t>-01-006</w:t>
            </w:r>
          </w:p>
        </w:tc>
      </w:tr>
      <w:tr w:rsidR="006002CA" w:rsidRPr="00F50C4F" w14:paraId="57DCF4D0" w14:textId="77777777" w:rsidTr="006002CA">
        <w:trPr>
          <w:trHeight w:hRule="exact" w:val="604"/>
        </w:trPr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0ADEEACF" w14:textId="69C5623B" w:rsidR="006002CA" w:rsidRPr="001B274E" w:rsidRDefault="006002CA" w:rsidP="006002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Ligjeruesi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9" w:type="dxa"/>
            <w:gridSpan w:val="5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24E2B5CE" w14:textId="77777777" w:rsidR="006002CA" w:rsidRDefault="006002CA" w:rsidP="006002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578ED" w14:textId="6D6E7DE9" w:rsidR="006002CA" w:rsidRPr="00021F53" w:rsidRDefault="006A3D79" w:rsidP="006002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A3D79">
              <w:rPr>
                <w:rFonts w:ascii="Arial" w:hAnsi="Arial" w:cs="Arial"/>
                <w:b/>
                <w:sz w:val="18"/>
                <w:szCs w:val="18"/>
              </w:rPr>
              <w:t>Profesor</w:t>
            </w:r>
            <w:proofErr w:type="spellEnd"/>
            <w:r w:rsidRPr="006A3D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6A3D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18"/>
                <w:szCs w:val="18"/>
              </w:rPr>
              <w:t>Asociuar</w:t>
            </w:r>
            <w:proofErr w:type="spellEnd"/>
            <w:r w:rsidRPr="006A3D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3D79">
              <w:rPr>
                <w:rFonts w:ascii="Arial" w:hAnsi="Arial" w:cs="Arial"/>
                <w:b/>
                <w:sz w:val="18"/>
                <w:szCs w:val="18"/>
              </w:rPr>
              <w:t>Dr.Behar</w:t>
            </w:r>
            <w:proofErr w:type="spellEnd"/>
            <w:proofErr w:type="gramEnd"/>
            <w:r w:rsidRPr="006A3D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18"/>
                <w:szCs w:val="18"/>
              </w:rPr>
              <w:t>Selimi</w:t>
            </w:r>
            <w:proofErr w:type="spellEnd"/>
          </w:p>
        </w:tc>
      </w:tr>
      <w:tr w:rsidR="006002CA" w:rsidRPr="00F50C4F" w14:paraId="70F8D63E" w14:textId="77777777" w:rsidTr="006002CA">
        <w:trPr>
          <w:trHeight w:hRule="exact" w:val="288"/>
        </w:trPr>
        <w:tc>
          <w:tcPr>
            <w:tcW w:w="196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52A8ABCC" w14:textId="12FEEFA4" w:rsidR="006002CA" w:rsidRPr="001B274E" w:rsidRDefault="006002CA" w:rsidP="006002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Asistenti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9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BD3A1F4" w14:textId="77777777" w:rsidR="006002CA" w:rsidRPr="00F50C4F" w:rsidRDefault="006002CA" w:rsidP="006002CA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6002CA" w:rsidRPr="00F50C4F" w14:paraId="17B2CA5E" w14:textId="77777777" w:rsidTr="006002CA">
        <w:trPr>
          <w:trHeight w:hRule="exact" w:val="333"/>
        </w:trPr>
        <w:tc>
          <w:tcPr>
            <w:tcW w:w="196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1540091A" w14:textId="7258B5E7" w:rsidR="006002CA" w:rsidRPr="001B274E" w:rsidRDefault="006002CA" w:rsidP="006002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Tutori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A9F898" w14:textId="77777777" w:rsidR="006002CA" w:rsidRPr="00F50C4F" w:rsidRDefault="006002CA" w:rsidP="006002CA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84458F" w:rsidRPr="00AE3BE3" w14:paraId="32E973EB" w14:textId="77777777" w:rsidTr="006002CA"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10A483F" w14:textId="77777777" w:rsidR="0084458F" w:rsidRPr="001B274E" w:rsidRDefault="0084458F" w:rsidP="00021F5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Qëllimet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389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2827965" w14:textId="77F6DF97" w:rsidR="0084458F" w:rsidRPr="006002CA" w:rsidRDefault="006002CA" w:rsidP="002B595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2CA">
              <w:rPr>
                <w:rFonts w:ascii="Arial" w:hAnsi="Arial" w:cs="Arial"/>
                <w:sz w:val="20"/>
                <w:szCs w:val="20"/>
              </w:rPr>
              <w:t xml:space="preserve">Ky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kurs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nivelit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depërton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fushën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ndërdisiplinore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brenda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kontekstit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drejtës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Studentët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eksplorojnë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parimet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metodologjitë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aplikimet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hetimet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procedurat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. Ky syllabus ka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qëllim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t'u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ofrojë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studentëve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nivelit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kuptim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plotë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aplikimeve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saj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drejtën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Ajo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përfshin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njohuritë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teorike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zhvillimin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aftësive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praktike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analizën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kritike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përgatitur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studentët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rolet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mjekësi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kryqëzohet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sistemin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drejtësisë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Qëllimet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6002CA">
              <w:rPr>
                <w:rFonts w:ascii="Arial" w:hAnsi="Arial" w:cs="Arial"/>
                <w:sz w:val="20"/>
                <w:szCs w:val="20"/>
              </w:rPr>
              <w:t>objektivat</w:t>
            </w:r>
            <w:proofErr w:type="spellEnd"/>
            <w:r w:rsidR="0084458F" w:rsidRPr="006002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77EFBC" w14:textId="6CB05E4C" w:rsidR="0084458F" w:rsidRPr="006002CA" w:rsidRDefault="0084458F" w:rsidP="0084458F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t'u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dhënë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studentëve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kuptim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plotë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parimeve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metodologjive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disiplinave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brenda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5F8" w:rsidRPr="001A25F8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="001A25F8"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5F8" w:rsidRPr="001A25F8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="001A25F8"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5F8" w:rsidRPr="001A25F8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="001A25F8"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5F8" w:rsidRPr="001A25F8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="001A25F8"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lidhje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drejtën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>.</w:t>
            </w:r>
            <w:r w:rsid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34C32E" w14:textId="77777777" w:rsidR="0084458F" w:rsidRPr="006002CA" w:rsidRDefault="0084458F" w:rsidP="0084458F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t'u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mundësuar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studentëve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aplikojnë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teknika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mbledhjen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ruajtjen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analizën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provave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fizike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që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hasen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zakonisht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hetimet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30AB47" w14:textId="77777777" w:rsidR="0084458F" w:rsidRPr="006002CA" w:rsidRDefault="0084458F" w:rsidP="0084458F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nxisë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aftësitë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menduarit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kritik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duke u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dhënë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mundësi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studentëve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vlerësojnë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mënyrë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kritike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besueshmërinë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kufizimet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pranueshmërinë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provave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kontekstin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procedimeve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drejtës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C44365" w14:textId="00FA5CBC" w:rsidR="001A25F8" w:rsidRDefault="001A25F8" w:rsidP="001A25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futur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kuptim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konsideratave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etike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praktikën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, duke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theksuar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integritetin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objektivitetin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përdorimin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përgjegjshëm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provave</w:t>
            </w:r>
            <w:proofErr w:type="spellEnd"/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5F8">
              <w:rPr>
                <w:rFonts w:ascii="Arial" w:hAnsi="Arial" w:cs="Arial"/>
                <w:sz w:val="20"/>
                <w:szCs w:val="20"/>
              </w:rPr>
              <w:t>shkencore</w:t>
            </w:r>
            <w:proofErr w:type="spellEnd"/>
            <w:r w:rsidR="001B274E">
              <w:rPr>
                <w:rFonts w:ascii="Arial" w:hAnsi="Arial" w:cs="Arial"/>
                <w:sz w:val="20"/>
                <w:szCs w:val="20"/>
              </w:rPr>
              <w:t>.</w:t>
            </w:r>
            <w:r w:rsidRPr="001A2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CE5D2" w14:textId="5CB3AF07" w:rsidR="0084458F" w:rsidRPr="006002CA" w:rsidRDefault="0084458F" w:rsidP="001A25F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Qëllimet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objektivat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janë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përputhje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rezultatet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mësuarit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duke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siguruar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që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kursi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ofron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qasje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fokusuar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strukturuar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arritur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njohuritë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aftësitë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qëndrimet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dëshiruara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fushën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C65A35" w:rsidRPr="00C65A35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="00C65A35" w:rsidRPr="00C6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A35" w:rsidRPr="00C65A35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="00C65A35" w:rsidRPr="00C6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A35" w:rsidRPr="00C65A35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="00C65A35" w:rsidRPr="00C6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A35" w:rsidRPr="00C65A35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="00C65A35" w:rsidRPr="00C6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kontekstin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drejtës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02CA">
              <w:rPr>
                <w:rFonts w:ascii="Arial" w:hAnsi="Arial" w:cs="Arial"/>
                <w:sz w:val="20"/>
                <w:szCs w:val="20"/>
              </w:rPr>
              <w:t>nivelin</w:t>
            </w:r>
            <w:proofErr w:type="spellEnd"/>
            <w:r w:rsidRPr="006002CA">
              <w:rPr>
                <w:rFonts w:ascii="Arial" w:hAnsi="Arial" w:cs="Arial"/>
                <w:sz w:val="20"/>
                <w:szCs w:val="20"/>
              </w:rPr>
              <w:t xml:space="preserve"> master.</w:t>
            </w:r>
            <w:r w:rsidR="00C65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458F" w:rsidRPr="00AE3BE3" w14:paraId="182B1F7C" w14:textId="77777777" w:rsidTr="006002CA">
        <w:trPr>
          <w:trHeight w:val="2492"/>
        </w:trPr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110D4EA" w14:textId="7E3EB398" w:rsidR="0084458F" w:rsidRPr="001B34CE" w:rsidRDefault="006002C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6002CA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6002CA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="007D3CDF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="007D3CD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7D3CDF">
              <w:rPr>
                <w:rFonts w:ascii="Arial" w:hAnsi="Arial" w:cs="Arial"/>
                <w:b/>
                <w:sz w:val="17"/>
                <w:szCs w:val="17"/>
              </w:rPr>
              <w:t>nxenit</w:t>
            </w:r>
            <w:proofErr w:type="spellEnd"/>
            <w:r w:rsidR="007D3CD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7D3CDF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="007D3CDF">
              <w:t xml:space="preserve"> </w:t>
            </w:r>
            <w:proofErr w:type="spellStart"/>
            <w:r w:rsidR="007D3CDF" w:rsidRPr="007D3CDF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389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C4E6FB" w14:textId="77777777" w:rsidR="0084458F" w:rsidRPr="00AE3BE3" w:rsidRDefault="0084458F" w:rsidP="00491A50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45DDFA15" w14:textId="77777777" w:rsidR="0084458F" w:rsidRPr="001B274E" w:rsidRDefault="0084458F" w:rsidP="00B45D2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 xml:space="preserve">Pas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përfundimit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suksesshëm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kursit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studentët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duhet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jenë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gjendje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CFDBBB" w14:textId="77777777" w:rsidR="0084458F" w:rsidRPr="001B274E" w:rsidRDefault="0084458F" w:rsidP="00B45D27">
            <w:pPr>
              <w:spacing w:after="0" w:line="276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2D888D" w14:textId="1E4A8BFC" w:rsidR="0084458F" w:rsidRDefault="0084458F" w:rsidP="0084458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Demonstro</w:t>
            </w:r>
            <w:r w:rsidR="00C65A35" w:rsidRPr="001B274E">
              <w:rPr>
                <w:rFonts w:ascii="Arial" w:hAnsi="Arial" w:cs="Arial"/>
                <w:sz w:val="20"/>
                <w:szCs w:val="20"/>
              </w:rPr>
              <w:t>jn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kuptim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plotë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parimeve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teknikave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disiplinave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bazë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brenda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A35" w:rsidRPr="001B274E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="00C65A35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A35" w:rsidRPr="001B274E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="00C65A35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A35" w:rsidRPr="001B274E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pasi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ato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lidhen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drejtën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>.</w:t>
            </w:r>
            <w:r w:rsidR="008D5344">
              <w:t xml:space="preserve"> (</w:t>
            </w:r>
            <w:r w:rsidR="008D5344" w:rsidRPr="008D5344">
              <w:rPr>
                <w:rFonts w:ascii="Arial" w:hAnsi="Arial" w:cs="Arial"/>
                <w:sz w:val="20"/>
                <w:szCs w:val="20"/>
              </w:rPr>
              <w:t>RNP</w:t>
            </w:r>
            <w:r w:rsidR="008D5344">
              <w:rPr>
                <w:rFonts w:ascii="Arial" w:hAnsi="Arial" w:cs="Arial"/>
                <w:sz w:val="20"/>
                <w:szCs w:val="20"/>
              </w:rPr>
              <w:t xml:space="preserve"> 1); </w:t>
            </w:r>
          </w:p>
          <w:p w14:paraId="6AA3DE97" w14:textId="6413DE6E" w:rsidR="0084458F" w:rsidRPr="001B274E" w:rsidRDefault="0084458F" w:rsidP="0084458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Vlerëso</w:t>
            </w:r>
            <w:r w:rsidR="00C65A35" w:rsidRPr="001B274E">
              <w:rPr>
                <w:rFonts w:ascii="Arial" w:hAnsi="Arial" w:cs="Arial"/>
                <w:sz w:val="20"/>
                <w:szCs w:val="20"/>
              </w:rPr>
              <w:t>jn</w:t>
            </w:r>
            <w:proofErr w:type="spellEnd"/>
            <w:r w:rsidR="00C65A35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mënyrë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kritike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besueshmërinë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kufizimet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pranueshmërinë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provave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kuadrin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procedimeve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drejtës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74E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>.</w:t>
            </w:r>
            <w:r w:rsidR="008D534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D5344">
              <w:rPr>
                <w:rFonts w:ascii="Arial" w:hAnsi="Arial" w:cs="Arial"/>
                <w:sz w:val="20"/>
                <w:szCs w:val="20"/>
              </w:rPr>
              <w:t>RNP 4</w:t>
            </w:r>
            <w:r w:rsidR="00DE5586">
              <w:rPr>
                <w:rFonts w:ascii="Arial" w:hAnsi="Arial" w:cs="Arial"/>
                <w:sz w:val="20"/>
                <w:szCs w:val="20"/>
              </w:rPr>
              <w:t>);</w:t>
            </w:r>
            <w:r w:rsidR="008D53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9F451C" w14:textId="5F9BD36C" w:rsidR="0084458F" w:rsidRPr="00A53EF4" w:rsidRDefault="009775FB" w:rsidP="0084458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Planifik</w:t>
            </w:r>
            <w:r>
              <w:rPr>
                <w:rFonts w:ascii="Arial" w:hAnsi="Arial" w:cs="Arial"/>
                <w:sz w:val="20"/>
                <w:szCs w:val="20"/>
              </w:rPr>
              <w:t>ojn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realiz</w:t>
            </w:r>
            <w:r>
              <w:rPr>
                <w:rFonts w:ascii="Arial" w:hAnsi="Arial" w:cs="Arial"/>
                <w:sz w:val="20"/>
                <w:szCs w:val="20"/>
              </w:rPr>
              <w:t>ojn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projekti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kërkimor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fushën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775FB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977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5FB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="0084458F" w:rsidRPr="001B274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RNP 10). </w:t>
            </w:r>
          </w:p>
        </w:tc>
      </w:tr>
      <w:tr w:rsidR="0084458F" w:rsidRPr="001B34CE" w14:paraId="78CEF652" w14:textId="77777777" w:rsidTr="006002CA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963A97E" w14:textId="210AF160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Përmbajtja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="006002CA" w:rsidRPr="001B274E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  <w:r w:rsidR="006002CA"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8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F6A31A0" w14:textId="06925951" w:rsidR="0084458F" w:rsidRPr="001B274E" w:rsidRDefault="00D20530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30">
              <w:rPr>
                <w:rFonts w:ascii="Arial" w:hAnsi="Arial" w:cs="Arial"/>
                <w:b/>
                <w:sz w:val="20"/>
                <w:szCs w:val="20"/>
              </w:rPr>
              <w:t>Plani</w:t>
            </w:r>
            <w:proofErr w:type="spellEnd"/>
            <w:r w:rsidRPr="00D20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b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7FE7B59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74E">
              <w:rPr>
                <w:rFonts w:ascii="Arial" w:hAnsi="Arial" w:cs="Arial"/>
                <w:b/>
                <w:sz w:val="20"/>
                <w:szCs w:val="20"/>
              </w:rPr>
              <w:t>Java</w:t>
            </w:r>
          </w:p>
        </w:tc>
      </w:tr>
      <w:tr w:rsidR="0084458F" w:rsidRPr="001B34CE" w14:paraId="06ED9489" w14:textId="77777777" w:rsidTr="006002CA">
        <w:trPr>
          <w:trHeight w:hRule="exact" w:val="297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6CCA4B2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712B5" w14:textId="32177958" w:rsidR="0084458F" w:rsidRPr="001B274E" w:rsidRDefault="0084458F" w:rsidP="005E1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Hyrje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shkencën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4F7" w:rsidRPr="001B274E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F704F7" w:rsidRPr="001B274E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="00F704F7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04F7" w:rsidRPr="001B274E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CF5A5FC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458F" w:rsidRPr="001B34CE" w14:paraId="41F45EC8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367F308" w14:textId="77777777" w:rsidR="0084458F" w:rsidRPr="001B34CE" w:rsidRDefault="0084458F" w:rsidP="00F272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35AA4" w14:textId="1ACCF7E4" w:rsidR="0084458F" w:rsidRPr="001B274E" w:rsidRDefault="0084458F" w:rsidP="00F272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Zhvillimi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historik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04F7"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704F7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04F7" w:rsidRPr="001B274E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="00F704F7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04F7" w:rsidRPr="001B274E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E190C2A" w14:textId="77777777" w:rsidR="0084458F" w:rsidRPr="001B274E" w:rsidRDefault="0084458F" w:rsidP="00F272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458F" w:rsidRPr="001B34CE" w14:paraId="04C1741D" w14:textId="77777777" w:rsidTr="00F704F7">
        <w:trPr>
          <w:trHeight w:hRule="exact" w:val="684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6E4E8FC" w14:textId="77777777" w:rsidR="0084458F" w:rsidRPr="001B34CE" w:rsidRDefault="0084458F" w:rsidP="00F2720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AEC95" w14:textId="77777777" w:rsidR="0084458F" w:rsidRPr="001B274E" w:rsidRDefault="0084458F" w:rsidP="00F2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Vështrim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përgjithshëm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disiplinave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ADN-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patologjia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antropologjia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toksikologjia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etj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1E2CC38" w14:textId="77777777" w:rsidR="0084458F" w:rsidRPr="001B274E" w:rsidRDefault="0084458F" w:rsidP="00F272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4458F" w:rsidRPr="001B34CE" w14:paraId="083AEDBF" w14:textId="77777777" w:rsidTr="006002CA">
        <w:trPr>
          <w:trHeight w:hRule="exact" w:val="252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C902201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52CF3" w14:textId="77777777" w:rsidR="0084458F" w:rsidRPr="001B274E" w:rsidRDefault="0084458F" w:rsidP="00E87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Natyra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ndërdisiplinore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hetimeve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A4A1CAC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4458F" w:rsidRPr="001B34CE" w14:paraId="0BEE0A3D" w14:textId="77777777" w:rsidTr="006002CA">
        <w:trPr>
          <w:trHeight w:hRule="exact" w:val="27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7BF6438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49C25" w14:textId="77777777" w:rsidR="0084458F" w:rsidRPr="001B274E" w:rsidRDefault="0084458F" w:rsidP="00E87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Praktikat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mira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mbledhjen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provave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897358B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458F" w:rsidRPr="001B34CE" w14:paraId="0A2E5362" w14:textId="77777777" w:rsidTr="006002CA">
        <w:trPr>
          <w:trHeight w:hRule="exact" w:val="261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60B797C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07425" w14:textId="77777777" w:rsidR="0084458F" w:rsidRPr="001B274E" w:rsidRDefault="0084458F" w:rsidP="00E6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Metodat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ruajtjes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ruajtur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integritetin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evidentues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0B49112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458F" w:rsidRPr="001B34CE" w14:paraId="79CB1AED" w14:textId="77777777" w:rsidTr="006002CA">
        <w:trPr>
          <w:trHeight w:hRule="exact" w:val="477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E418309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CBF19" w14:textId="77777777" w:rsidR="0084458F" w:rsidRPr="001B274E" w:rsidRDefault="0084458F" w:rsidP="00602A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Profilizimi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ADN-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Ekzaminimi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gjurmëve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fibrat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flokët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tokës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54BD8DA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4458F" w:rsidRPr="001B34CE" w14:paraId="020D1872" w14:textId="77777777" w:rsidTr="006002CA">
        <w:trPr>
          <w:trHeight w:hRule="exact" w:val="279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FD5007D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0A822" w14:textId="77777777" w:rsidR="0084458F" w:rsidRPr="001B274E" w:rsidRDefault="0084458F" w:rsidP="00A27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Vizitë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studimore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Institutin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Kosovë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7BEE968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458F" w:rsidRPr="001B34CE" w14:paraId="312B7DA0" w14:textId="77777777" w:rsidTr="006002CA">
        <w:trPr>
          <w:trHeight w:hRule="exact" w:val="45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B6F82D6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B3925" w14:textId="77777777" w:rsidR="0084458F" w:rsidRPr="001B274E" w:rsidRDefault="0084458F" w:rsidP="00223B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Ekzaminimi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armëve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zjarrit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plumbave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shenjave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veglave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Lidhja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armëve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skenat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krimit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CBEC0D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4458F" w:rsidRPr="001B34CE" w14:paraId="5B18C842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C7F20DD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CB1E6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Roli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patologëve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hetimet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E1A8E2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4458F" w:rsidRPr="001B34CE" w14:paraId="63205B69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0C763DE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F17F5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Metodat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antropologjike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identifikimin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mbetjeve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njerëzore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15709D0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458F" w:rsidRPr="001B34CE" w14:paraId="149F768D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B5FA5BB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5E7ED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Kriteret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vlerësimin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besueshmërisë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provave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7F45A5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4458F" w:rsidRPr="001B34CE" w14:paraId="754F3B61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493CE1F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75F5D" w14:textId="37E126D2" w:rsidR="0084458F" w:rsidRPr="001B274E" w:rsidRDefault="0084458F" w:rsidP="00B539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Sfidat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etike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="001B274E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274E" w:rsidRPr="001B274E">
              <w:rPr>
                <w:rFonts w:ascii="Arial" w:hAnsi="Arial" w:cs="Arial"/>
                <w:sz w:val="20"/>
                <w:szCs w:val="20"/>
              </w:rPr>
              <w:t>shkencën</w:t>
            </w:r>
            <w:proofErr w:type="spellEnd"/>
            <w:r w:rsidR="001B274E" w:rsidRPr="001B274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274E" w:rsidRPr="001B274E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="001B274E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274E" w:rsidRPr="001B274E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F26667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4458F" w:rsidRPr="001B34CE" w14:paraId="464CD7F7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BA600C1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7EA85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Prirjet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teknologjitë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rritje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hetimet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mjeko-ligjore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56CB446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4458F" w:rsidRPr="001B34CE" w14:paraId="52142B5B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0D060636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B28F32D" w14:textId="36BEA8FC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Prezantimi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274E" w:rsidRPr="001B274E">
              <w:rPr>
                <w:rFonts w:ascii="Arial" w:hAnsi="Arial" w:cs="Arial"/>
                <w:sz w:val="20"/>
                <w:szCs w:val="20"/>
              </w:rPr>
              <w:t>projektit</w:t>
            </w:r>
            <w:proofErr w:type="spellEnd"/>
            <w:r w:rsidR="001B274E" w:rsidRPr="001B2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sz w:val="20"/>
                <w:szCs w:val="20"/>
              </w:rPr>
              <w:t>kërkimor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D05C99C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4458F" w:rsidRPr="001B34CE" w14:paraId="31A8C27E" w14:textId="77777777" w:rsidTr="006002CA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AD0190C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DDD24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98A9D" w14:textId="35F607E0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Metodat</w:t>
            </w:r>
            <w:proofErr w:type="spellEnd"/>
            <w:r w:rsidRPr="001B274E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b/>
                <w:sz w:val="20"/>
                <w:szCs w:val="20"/>
              </w:rPr>
              <w:t>mësimdhënies</w:t>
            </w:r>
            <w:proofErr w:type="spellEnd"/>
          </w:p>
        </w:tc>
        <w:tc>
          <w:tcPr>
            <w:tcW w:w="5768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B478F63" w14:textId="764676F2" w:rsidR="0084458F" w:rsidRPr="001B274E" w:rsidRDefault="00D20530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30">
              <w:rPr>
                <w:rFonts w:ascii="Arial" w:hAnsi="Arial" w:cs="Arial"/>
                <w:b/>
                <w:sz w:val="20"/>
                <w:szCs w:val="20"/>
              </w:rPr>
              <w:t>Aktivitet</w:t>
            </w:r>
            <w:r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spellEnd"/>
            <w:r w:rsidR="0084458F" w:rsidRPr="001B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b/>
                <w:sz w:val="20"/>
                <w:szCs w:val="20"/>
              </w:rPr>
              <w:t>mësimore</w:t>
            </w:r>
            <w:proofErr w:type="spellEnd"/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1354A774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74E">
              <w:rPr>
                <w:rFonts w:ascii="Arial" w:hAnsi="Arial" w:cs="Arial"/>
                <w:b/>
                <w:sz w:val="20"/>
                <w:szCs w:val="20"/>
              </w:rPr>
              <w:t>Pesha (%)</w:t>
            </w:r>
          </w:p>
        </w:tc>
      </w:tr>
      <w:tr w:rsidR="0084458F" w:rsidRPr="001B34CE" w14:paraId="690E29FD" w14:textId="77777777" w:rsidTr="006002CA">
        <w:trPr>
          <w:trHeight w:hRule="exact" w:val="225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23A1BD7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AC631" w14:textId="46152A42" w:rsidR="0084458F" w:rsidRPr="001B274E" w:rsidRDefault="0084458F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1B274E">
              <w:rPr>
                <w:rFonts w:ascii="Arial" w:hAnsi="Arial" w:cs="Arial"/>
                <w:color w:val="404040"/>
                <w:lang w:eastAsia="en-US"/>
              </w:rPr>
              <w:t>igj</w:t>
            </w:r>
            <w:r w:rsidR="00D20530">
              <w:rPr>
                <w:rFonts w:ascii="Arial" w:hAnsi="Arial" w:cs="Arial"/>
                <w:color w:val="404040"/>
                <w:lang w:eastAsia="en-US"/>
              </w:rPr>
              <w:t>ë</w:t>
            </w:r>
            <w:r w:rsidR="001B274E">
              <w:rPr>
                <w:rFonts w:ascii="Arial" w:hAnsi="Arial" w:cs="Arial"/>
                <w:color w:val="404040"/>
                <w:lang w:eastAsia="en-US"/>
              </w:rPr>
              <w:t>rata</w:t>
            </w:r>
            <w:proofErr w:type="spellEnd"/>
            <w:r w:rsid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r w:rsidR="001B0B49">
              <w:rPr>
                <w:rFonts w:ascii="Arial" w:hAnsi="Arial" w:cs="Arial"/>
                <w:color w:val="404040"/>
                <w:lang w:eastAsia="en-US"/>
              </w:rPr>
              <w:t>(RN</w:t>
            </w:r>
            <w:r w:rsidR="007D3CDF">
              <w:rPr>
                <w:rFonts w:ascii="Arial" w:hAnsi="Arial" w:cs="Arial"/>
                <w:color w:val="404040"/>
                <w:lang w:eastAsia="en-US"/>
              </w:rPr>
              <w:t>L1,2,3)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1A243C2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30%</w:t>
            </w:r>
          </w:p>
        </w:tc>
      </w:tr>
      <w:tr w:rsidR="0084458F" w:rsidRPr="001B34CE" w14:paraId="0C52801C" w14:textId="77777777" w:rsidTr="006002CA">
        <w:trPr>
          <w:trHeight w:hRule="exact" w:val="207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F6DB7CF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1656E" w14:textId="3502FF71" w:rsidR="0084458F" w:rsidRPr="001B274E" w:rsidRDefault="0084458F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Ushtrime</w:t>
            </w:r>
            <w:proofErr w:type="spellEnd"/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(R</w:t>
            </w:r>
            <w:r w:rsidR="00CC76AB">
              <w:rPr>
                <w:rFonts w:ascii="Arial" w:hAnsi="Arial" w:cs="Arial"/>
                <w:color w:val="404040"/>
                <w:lang w:eastAsia="en-US"/>
              </w:rPr>
              <w:t>NL</w:t>
            </w:r>
            <w:r w:rsidR="007D3CDF">
              <w:rPr>
                <w:rFonts w:ascii="Arial" w:hAnsi="Arial" w:cs="Arial"/>
                <w:color w:val="404040"/>
                <w:lang w:eastAsia="en-US"/>
              </w:rPr>
              <w:t>1,2,3)</w:t>
            </w:r>
            <w:r w:rsidR="00CC76AB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50CEFA5" w14:textId="45A3191A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 w:rsidR="00D20530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</w:tr>
      <w:tr w:rsidR="0084458F" w:rsidRPr="001B34CE" w14:paraId="631588E3" w14:textId="77777777" w:rsidTr="001B274E">
        <w:trPr>
          <w:trHeight w:hRule="exact" w:val="495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4096CB1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B96D3" w14:textId="031F4C6D" w:rsidR="0084458F" w:rsidRPr="001B274E" w:rsidRDefault="001B274E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Projekti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kërkimor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mbi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një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temë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specifike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të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shkencës</w:t>
            </w:r>
            <w:proofErr w:type="spellEnd"/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D20530">
              <w:rPr>
                <w:rFonts w:ascii="Arial" w:hAnsi="Arial" w:cs="Arial"/>
                <w:color w:val="404040"/>
                <w:lang w:eastAsia="en-US"/>
              </w:rPr>
              <w:t>së</w:t>
            </w:r>
            <w:proofErr w:type="spellEnd"/>
            <w:r w:rsidR="00D20530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D20530" w:rsidRPr="00D20530">
              <w:rPr>
                <w:rFonts w:ascii="Arial" w:hAnsi="Arial" w:cs="Arial"/>
                <w:color w:val="404040"/>
                <w:lang w:eastAsia="en-US"/>
              </w:rPr>
              <w:t>mjekësisë</w:t>
            </w:r>
            <w:proofErr w:type="spellEnd"/>
            <w:r w:rsidR="00D20530" w:rsidRPr="00D20530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="00D20530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84458F" w:rsidRPr="001B274E">
              <w:rPr>
                <w:rFonts w:ascii="Arial" w:hAnsi="Arial" w:cs="Arial"/>
                <w:color w:val="404040"/>
                <w:lang w:eastAsia="en-US"/>
              </w:rPr>
              <w:t>igjore</w:t>
            </w:r>
            <w:proofErr w:type="spellEnd"/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r w:rsidR="00CC76AB">
              <w:rPr>
                <w:rFonts w:ascii="Arial" w:hAnsi="Arial" w:cs="Arial"/>
                <w:color w:val="404040"/>
                <w:lang w:eastAsia="en-US"/>
              </w:rPr>
              <w:t>(</w:t>
            </w:r>
            <w:r w:rsidR="007D3CDF">
              <w:rPr>
                <w:rFonts w:ascii="Arial" w:hAnsi="Arial" w:cs="Arial"/>
                <w:color w:val="404040"/>
                <w:lang w:eastAsia="en-US"/>
              </w:rPr>
              <w:t>RNL 3)</w:t>
            </w:r>
          </w:p>
          <w:p w14:paraId="53F5CBEE" w14:textId="30986FAF" w:rsidR="0084458F" w:rsidRPr="001B274E" w:rsidRDefault="0084458F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Vizita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studimore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9D5AE8" w14:textId="77777777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22%</w:t>
            </w:r>
          </w:p>
          <w:p w14:paraId="0AB529E9" w14:textId="6148DD96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7%</w:t>
            </w:r>
          </w:p>
        </w:tc>
      </w:tr>
      <w:tr w:rsidR="0084458F" w:rsidRPr="001B34CE" w14:paraId="38618307" w14:textId="77777777" w:rsidTr="00D20530">
        <w:trPr>
          <w:trHeight w:hRule="exact" w:val="990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C3163FA" w14:textId="77777777" w:rsidR="0084458F" w:rsidRPr="001B274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53CCC" w14:textId="52B25B9E" w:rsidR="0084458F" w:rsidRPr="001B274E" w:rsidRDefault="0084458F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Ushtrime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praktike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në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mbledhjen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dhe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analizën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e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provave</w:t>
            </w:r>
            <w:proofErr w:type="spellEnd"/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(RN</w:t>
            </w:r>
            <w:r w:rsidR="00A14057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r w:rsidR="007D3CDF">
              <w:rPr>
                <w:rFonts w:ascii="Arial" w:hAnsi="Arial" w:cs="Arial"/>
                <w:color w:val="404040"/>
                <w:lang w:eastAsia="en-US"/>
              </w:rPr>
              <w:t>2)</w:t>
            </w:r>
          </w:p>
          <w:p w14:paraId="79E8B240" w14:textId="3A46CD2D" w:rsidR="0084458F" w:rsidRDefault="0084458F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Studimi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i</w:t>
            </w:r>
            <w:proofErr w:type="spellEnd"/>
            <w:r w:rsidRPr="001B274E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1B274E">
              <w:rPr>
                <w:rFonts w:ascii="Arial" w:hAnsi="Arial" w:cs="Arial"/>
                <w:color w:val="404040"/>
                <w:lang w:eastAsia="en-US"/>
              </w:rPr>
              <w:t>rasteve</w:t>
            </w:r>
            <w:proofErr w:type="spellEnd"/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(RN</w:t>
            </w:r>
            <w:r w:rsidR="00A14057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r w:rsidR="007D3CDF">
              <w:rPr>
                <w:rFonts w:ascii="Arial" w:hAnsi="Arial" w:cs="Arial"/>
                <w:color w:val="404040"/>
                <w:lang w:eastAsia="en-US"/>
              </w:rPr>
              <w:t>1, 2, 3)</w:t>
            </w:r>
          </w:p>
          <w:p w14:paraId="188A22D2" w14:textId="66C52F7D" w:rsidR="00D20530" w:rsidRPr="001B274E" w:rsidRDefault="00D20530" w:rsidP="008445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r>
              <w:rPr>
                <w:rFonts w:ascii="Arial" w:hAnsi="Arial" w:cs="Arial"/>
                <w:color w:val="404040"/>
                <w:lang w:eastAsia="en-US"/>
              </w:rPr>
              <w:t xml:space="preserve">Video </w:t>
            </w:r>
            <w:proofErr w:type="spellStart"/>
            <w:r>
              <w:rPr>
                <w:rFonts w:ascii="Arial" w:hAnsi="Arial" w:cs="Arial"/>
                <w:color w:val="404040"/>
                <w:lang w:eastAsia="en-US"/>
              </w:rPr>
              <w:t>dokumentar</w:t>
            </w:r>
            <w:proofErr w:type="spellEnd"/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(RN</w:t>
            </w:r>
            <w:r w:rsidR="00A14057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1B0B4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r w:rsidR="007D3CDF">
              <w:rPr>
                <w:rFonts w:ascii="Arial" w:hAnsi="Arial" w:cs="Arial"/>
                <w:color w:val="404040"/>
                <w:lang w:eastAsia="en-US"/>
              </w:rPr>
              <w:t>2)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6669B6C" w14:textId="5816659B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7%</w:t>
            </w:r>
          </w:p>
          <w:p w14:paraId="29653C80" w14:textId="20BBEE18" w:rsidR="0084458F" w:rsidRPr="001B274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B274E">
              <w:rPr>
                <w:rFonts w:ascii="Arial" w:hAnsi="Arial" w:cs="Arial"/>
                <w:color w:val="404040"/>
                <w:sz w:val="20"/>
                <w:szCs w:val="20"/>
              </w:rPr>
              <w:t>15</w:t>
            </w:r>
            <w:r w:rsidR="001B274E" w:rsidRPr="001B274E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  <w:p w14:paraId="2FD522D0" w14:textId="77777777" w:rsidR="0084458F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2BCED22B" w14:textId="460549B9" w:rsidR="00D20530" w:rsidRPr="001B274E" w:rsidRDefault="00D20530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4%</w:t>
            </w:r>
          </w:p>
        </w:tc>
      </w:tr>
      <w:tr w:rsidR="0084458F" w:rsidRPr="001B34CE" w14:paraId="3BB4AE8E" w14:textId="77777777" w:rsidTr="00D20530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FEC815B" w14:textId="77777777" w:rsidR="0084458F" w:rsidRPr="00D20530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30">
              <w:rPr>
                <w:rFonts w:ascii="Arial" w:hAnsi="Arial" w:cs="Arial"/>
                <w:b/>
                <w:sz w:val="20"/>
                <w:szCs w:val="20"/>
              </w:rPr>
              <w:t>Metodat</w:t>
            </w:r>
            <w:proofErr w:type="spellEnd"/>
            <w:r w:rsidRPr="00D20530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20530">
              <w:rPr>
                <w:rFonts w:ascii="Arial" w:hAnsi="Arial" w:cs="Arial"/>
                <w:b/>
                <w:sz w:val="20"/>
                <w:szCs w:val="20"/>
              </w:rPr>
              <w:t>vlerësimit</w:t>
            </w:r>
            <w:proofErr w:type="spellEnd"/>
          </w:p>
        </w:tc>
        <w:tc>
          <w:tcPr>
            <w:tcW w:w="352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F2B436A" w14:textId="6F9E0C97" w:rsidR="0084458F" w:rsidRPr="00D20530" w:rsidRDefault="00D20530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458F" w:rsidRPr="00D20530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proofErr w:type="spellStart"/>
            <w:r w:rsidR="0084458F" w:rsidRPr="00D20530">
              <w:rPr>
                <w:rFonts w:ascii="Arial" w:hAnsi="Arial" w:cs="Arial"/>
                <w:b/>
                <w:sz w:val="20"/>
                <w:szCs w:val="20"/>
              </w:rPr>
              <w:t>vlerësimit</w:t>
            </w:r>
            <w:proofErr w:type="spellEnd"/>
          </w:p>
        </w:tc>
        <w:tc>
          <w:tcPr>
            <w:tcW w:w="95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9C64506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30">
              <w:rPr>
                <w:rFonts w:ascii="Arial" w:hAnsi="Arial" w:cs="Arial"/>
                <w:b/>
                <w:sz w:val="20"/>
                <w:szCs w:val="20"/>
              </w:rPr>
              <w:t>Numri</w:t>
            </w:r>
            <w:proofErr w:type="spellEnd"/>
          </w:p>
        </w:tc>
        <w:tc>
          <w:tcPr>
            <w:tcW w:w="128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652D96A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530">
              <w:rPr>
                <w:rFonts w:ascii="Arial" w:hAnsi="Arial" w:cs="Arial"/>
                <w:b/>
                <w:sz w:val="20"/>
                <w:szCs w:val="20"/>
              </w:rPr>
              <w:t>Java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336B7001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530">
              <w:rPr>
                <w:rFonts w:ascii="Arial" w:hAnsi="Arial" w:cs="Arial"/>
                <w:b/>
                <w:sz w:val="20"/>
                <w:szCs w:val="20"/>
              </w:rPr>
              <w:t>Pesha (%)</w:t>
            </w:r>
          </w:p>
        </w:tc>
      </w:tr>
      <w:tr w:rsidR="0084458F" w:rsidRPr="006712C5" w14:paraId="7CC9DCDC" w14:textId="77777777" w:rsidTr="00D20530">
        <w:trPr>
          <w:trHeight w:hRule="exact" w:val="1053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1D994F69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D88301C" w14:textId="4B742F9B" w:rsidR="0084458F" w:rsidRPr="00D20530" w:rsidRDefault="00D20530" w:rsidP="008445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</w:t>
            </w:r>
            <w:proofErr w:type="spellEnd"/>
            <w:r w:rsidR="0084458F"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D20530">
              <w:rPr>
                <w:rFonts w:ascii="Arial" w:hAnsi="Arial" w:cs="Arial"/>
                <w:sz w:val="20"/>
                <w:szCs w:val="20"/>
              </w:rPr>
              <w:t>kërkimor</w:t>
            </w:r>
            <w:proofErr w:type="spellEnd"/>
            <w:r w:rsidR="0084458F"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D20530">
              <w:rPr>
                <w:rFonts w:ascii="Arial" w:hAnsi="Arial" w:cs="Arial"/>
                <w:sz w:val="20"/>
                <w:szCs w:val="20"/>
              </w:rPr>
              <w:t>mbi</w:t>
            </w:r>
            <w:proofErr w:type="spellEnd"/>
            <w:r w:rsidR="0084458F"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D20530"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 w:rsidR="0084458F"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D20530">
              <w:rPr>
                <w:rFonts w:ascii="Arial" w:hAnsi="Arial" w:cs="Arial"/>
                <w:sz w:val="20"/>
                <w:szCs w:val="20"/>
              </w:rPr>
              <w:t>temë</w:t>
            </w:r>
            <w:proofErr w:type="spellEnd"/>
            <w:r w:rsidR="0084458F"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D20530">
              <w:rPr>
                <w:rFonts w:ascii="Arial" w:hAnsi="Arial" w:cs="Arial"/>
                <w:sz w:val="20"/>
                <w:szCs w:val="20"/>
              </w:rPr>
              <w:t>specifike</w:t>
            </w:r>
            <w:proofErr w:type="spellEnd"/>
            <w:r w:rsidR="0084458F"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58F" w:rsidRPr="00D20530"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t xml:space="preserve"> </w:t>
            </w:r>
            <w:proofErr w:type="spellStart"/>
            <w:r w:rsidRPr="00D20530">
              <w:rPr>
                <w:rFonts w:ascii="Arial" w:hAnsi="Arial" w:cs="Arial"/>
                <w:sz w:val="20"/>
                <w:szCs w:val="20"/>
              </w:rPr>
              <w:t>shkencës</w:t>
            </w:r>
            <w:proofErr w:type="spellEnd"/>
            <w:r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sz w:val="20"/>
                <w:szCs w:val="20"/>
              </w:rPr>
              <w:t>mjekësisë</w:t>
            </w:r>
            <w:proofErr w:type="spellEnd"/>
            <w:r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 w:rsidRPr="00D20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057">
              <w:rPr>
                <w:rFonts w:ascii="Arial" w:hAnsi="Arial" w:cs="Arial"/>
                <w:sz w:val="20"/>
                <w:szCs w:val="20"/>
              </w:rPr>
              <w:t>(RNL 3)</w:t>
            </w:r>
          </w:p>
          <w:p w14:paraId="0CAA6829" w14:textId="77777777" w:rsidR="0084458F" w:rsidRPr="00D20530" w:rsidRDefault="0084458F" w:rsidP="00844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A930A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3978535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6DDF9ED" w14:textId="69EE9732" w:rsidR="0084458F" w:rsidRPr="00D20530" w:rsidRDefault="006A3D79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458F" w:rsidRPr="00D20530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84458F" w:rsidRPr="006712C5" w14:paraId="2941CBBC" w14:textId="77777777" w:rsidTr="00A14057">
        <w:trPr>
          <w:trHeight w:hRule="exact" w:val="459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72AF1AF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586B9E3" w14:textId="5D07C2A7" w:rsidR="0084458F" w:rsidRPr="00D20530" w:rsidRDefault="0084458F" w:rsidP="00844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D20530">
              <w:rPr>
                <w:rFonts w:ascii="Arial" w:hAnsi="Arial" w:cs="Arial"/>
                <w:lang w:eastAsia="en-US"/>
              </w:rPr>
              <w:t>Studimi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rasteve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r w:rsidR="00A14057">
              <w:rPr>
                <w:rFonts w:ascii="Arial" w:hAnsi="Arial" w:cs="Arial"/>
                <w:lang w:eastAsia="en-US"/>
              </w:rPr>
              <w:t>(RNL 1,2, 3)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62835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7916514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FDF725A" w14:textId="74B1B81B" w:rsidR="0084458F" w:rsidRPr="00D20530" w:rsidRDefault="006A3D79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458F" w:rsidRPr="00D20530">
              <w:rPr>
                <w:rFonts w:ascii="Arial" w:hAnsi="Arial" w:cs="Arial"/>
                <w:sz w:val="20"/>
                <w:szCs w:val="20"/>
              </w:rPr>
              <w:t>2.5%</w:t>
            </w:r>
          </w:p>
          <w:p w14:paraId="1A32C87B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58F" w:rsidRPr="006712C5" w14:paraId="5ACDE95B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5C31B5D9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A1A3BC4" w14:textId="53FAA909" w:rsidR="0084458F" w:rsidRPr="00D20530" w:rsidRDefault="0084458F" w:rsidP="00844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D20530">
              <w:rPr>
                <w:rFonts w:ascii="Arial" w:hAnsi="Arial" w:cs="Arial"/>
                <w:lang w:eastAsia="en-US"/>
              </w:rPr>
              <w:t>Pjesëmarrja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r w:rsidR="00A14057">
              <w:rPr>
                <w:rFonts w:ascii="Arial" w:hAnsi="Arial" w:cs="Arial"/>
                <w:lang w:eastAsia="en-US"/>
              </w:rPr>
              <w:t>(RNL 1,2,3)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3CAA8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4328400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 xml:space="preserve">1-15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0FE95DF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10 %</w:t>
            </w:r>
          </w:p>
          <w:p w14:paraId="61C84362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58F" w:rsidRPr="006712C5" w14:paraId="2DA415AA" w14:textId="77777777" w:rsidTr="00A14057">
        <w:trPr>
          <w:trHeight w:hRule="exact" w:val="252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87E3156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C376B97" w14:textId="2D9C4A02" w:rsidR="0084458F" w:rsidRPr="00D20530" w:rsidRDefault="0084458F" w:rsidP="00844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D20530">
              <w:rPr>
                <w:rFonts w:ascii="Arial" w:hAnsi="Arial" w:cs="Arial"/>
                <w:lang w:eastAsia="en-US"/>
              </w:rPr>
              <w:t>Vizita</w:t>
            </w:r>
            <w:proofErr w:type="spellEnd"/>
            <w:r w:rsidR="00D20530"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studimore</w:t>
            </w:r>
            <w:proofErr w:type="spellEnd"/>
            <w:r w:rsidR="00A14057">
              <w:rPr>
                <w:rFonts w:ascii="Arial" w:hAnsi="Arial" w:cs="Arial"/>
                <w:lang w:eastAsia="en-US"/>
              </w:rPr>
              <w:t xml:space="preserve"> (RNL 2)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2DF0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B1A1EDE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41ED37D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7.5 %</w:t>
            </w:r>
          </w:p>
        </w:tc>
      </w:tr>
      <w:tr w:rsidR="0084458F" w:rsidRPr="006712C5" w14:paraId="44525AF3" w14:textId="77777777" w:rsidTr="00D20530">
        <w:trPr>
          <w:trHeight w:hRule="exact" w:val="675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0ADFD787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85C156F" w14:textId="2C963BCD" w:rsidR="0084458F" w:rsidRPr="00D20530" w:rsidRDefault="0084458F" w:rsidP="00844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D20530">
              <w:rPr>
                <w:rFonts w:ascii="Arial" w:hAnsi="Arial" w:cs="Arial"/>
                <w:lang w:eastAsia="en-US"/>
              </w:rPr>
              <w:t>Ushtrime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praktike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në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mbledhjen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dhe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analizën</w:t>
            </w:r>
            <w:proofErr w:type="spellEnd"/>
            <w:r w:rsidRPr="00D20530">
              <w:rPr>
                <w:rFonts w:ascii="Arial" w:hAnsi="Arial" w:cs="Arial"/>
                <w:lang w:eastAsia="en-US"/>
              </w:rPr>
              <w:t xml:space="preserve"> e </w:t>
            </w:r>
            <w:proofErr w:type="spellStart"/>
            <w:r w:rsidRPr="00D20530">
              <w:rPr>
                <w:rFonts w:ascii="Arial" w:hAnsi="Arial" w:cs="Arial"/>
                <w:lang w:eastAsia="en-US"/>
              </w:rPr>
              <w:t>provave</w:t>
            </w:r>
            <w:proofErr w:type="spellEnd"/>
            <w:r w:rsidR="00D20530">
              <w:rPr>
                <w:rFonts w:ascii="Arial" w:hAnsi="Arial" w:cs="Arial"/>
                <w:lang w:eastAsia="en-US"/>
              </w:rPr>
              <w:t xml:space="preserve"> </w:t>
            </w:r>
            <w:r w:rsidR="00A14057">
              <w:rPr>
                <w:rFonts w:ascii="Arial" w:hAnsi="Arial" w:cs="Arial"/>
                <w:lang w:eastAsia="en-US"/>
              </w:rPr>
              <w:t xml:space="preserve">(RNL 2).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F106E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A15FBEA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86E2370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30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84458F" w:rsidRPr="001B34CE" w14:paraId="7A48B95C" w14:textId="77777777" w:rsidTr="00D20530">
        <w:trPr>
          <w:trHeight w:hRule="exact" w:val="171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2677FF42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4885ECA" w14:textId="77777777" w:rsidR="0084458F" w:rsidRPr="00D20530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EA96716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3E4B2ED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7B0F236" w14:textId="77777777" w:rsidR="0084458F" w:rsidRPr="001B34CE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84458F" w:rsidRPr="001B34CE" w14:paraId="0DA32D38" w14:textId="77777777" w:rsidTr="006002CA">
        <w:trPr>
          <w:trHeight w:hRule="exact" w:val="288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2FC0405" w14:textId="4C6C5F81" w:rsidR="0084458F" w:rsidRPr="006A3D79" w:rsidRDefault="006A3D79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Burimet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mjetet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konretizimit</w:t>
            </w:r>
            <w:proofErr w:type="spellEnd"/>
          </w:p>
        </w:tc>
        <w:tc>
          <w:tcPr>
            <w:tcW w:w="5768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9330890" w14:textId="32CFB3EF" w:rsidR="0084458F" w:rsidRPr="006A3D79" w:rsidRDefault="006A3D79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Mjetet</w:t>
            </w:r>
            <w:proofErr w:type="spellEnd"/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25DC4080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Numri</w:t>
            </w:r>
            <w:proofErr w:type="spellEnd"/>
          </w:p>
        </w:tc>
      </w:tr>
      <w:tr w:rsidR="0084458F" w:rsidRPr="001B34CE" w14:paraId="73ACD325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80A7218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7D7C3" w14:textId="770D95F3" w:rsidR="0084458F" w:rsidRPr="006A3D79" w:rsidRDefault="0084458F" w:rsidP="00844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6A3D79" w:rsidRPr="006A3D79">
              <w:rPr>
                <w:rFonts w:ascii="Arial" w:hAnsi="Arial" w:cs="Arial"/>
                <w:color w:val="404040"/>
                <w:lang w:eastAsia="en-US"/>
              </w:rPr>
              <w:t>igj</w:t>
            </w:r>
            <w:r w:rsidR="00C16A69">
              <w:rPr>
                <w:rFonts w:ascii="Arial" w:hAnsi="Arial" w:cs="Arial"/>
                <w:color w:val="404040"/>
                <w:lang w:eastAsia="en-US"/>
              </w:rPr>
              <w:t>ë</w:t>
            </w:r>
            <w:r w:rsidR="006A3D79" w:rsidRPr="006A3D79">
              <w:rPr>
                <w:rFonts w:ascii="Arial" w:hAnsi="Arial" w:cs="Arial"/>
                <w:color w:val="404040"/>
                <w:lang w:eastAsia="en-US"/>
              </w:rPr>
              <w:t>rata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4AD33E6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</w:tr>
      <w:tr w:rsidR="0084458F" w:rsidRPr="001B34CE" w14:paraId="02A6B854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82D356A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710D5" w14:textId="6E4A4BEE" w:rsidR="0084458F" w:rsidRPr="006A3D79" w:rsidRDefault="0084458F" w:rsidP="00844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r w:rsidRPr="006A3D79">
              <w:rPr>
                <w:rFonts w:ascii="Arial" w:hAnsi="Arial" w:cs="Arial"/>
                <w:color w:val="404040"/>
                <w:lang w:eastAsia="en-US"/>
              </w:rPr>
              <w:t>E-</w:t>
            </w:r>
            <w:proofErr w:type="spellStart"/>
            <w:r w:rsidR="006A3D79" w:rsidRPr="006A3D79">
              <w:rPr>
                <w:rFonts w:ascii="Arial" w:hAnsi="Arial" w:cs="Arial"/>
                <w:color w:val="404040"/>
                <w:lang w:eastAsia="en-US"/>
              </w:rPr>
              <w:t>kerkimi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me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bibliotekë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1FD6F61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</w:tr>
      <w:tr w:rsidR="0084458F" w:rsidRPr="001B34CE" w14:paraId="547CB664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0FA2B0F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2AF4D" w14:textId="77777777" w:rsidR="0084458F" w:rsidRPr="006A3D79" w:rsidRDefault="0084458F" w:rsidP="00844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Studime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rastesh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71BE715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</w:tr>
      <w:tr w:rsidR="0084458F" w:rsidRPr="001B34CE" w14:paraId="28FD5137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F6E0925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1C315" w14:textId="77777777" w:rsidR="0084458F" w:rsidRPr="006A3D79" w:rsidRDefault="0084458F" w:rsidP="00844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Projektor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085D307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</w:tr>
      <w:tr w:rsidR="0084458F" w:rsidRPr="001B34CE" w14:paraId="200779ED" w14:textId="77777777" w:rsidTr="006A3D79">
        <w:trPr>
          <w:trHeight w:hRule="exact" w:val="739"/>
        </w:trPr>
        <w:tc>
          <w:tcPr>
            <w:tcW w:w="196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9218220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ECTS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Ngarkesa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punës</w:t>
            </w:r>
            <w:proofErr w:type="spellEnd"/>
          </w:p>
        </w:tc>
        <w:tc>
          <w:tcPr>
            <w:tcW w:w="4482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589CE1E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Aktiviteti</w:t>
            </w:r>
            <w:proofErr w:type="spellEnd"/>
          </w:p>
        </w:tc>
        <w:tc>
          <w:tcPr>
            <w:tcW w:w="128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2B537D8" w14:textId="1D02B956" w:rsidR="0084458F" w:rsidRPr="006A3D79" w:rsidRDefault="006A3D79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proofErr w:type="spellStart"/>
            <w:r w:rsidR="0084458F" w:rsidRPr="006A3D79">
              <w:rPr>
                <w:rFonts w:ascii="Arial" w:hAnsi="Arial" w:cs="Arial"/>
                <w:b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D2C1AA7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Totali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ngarkesës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së</w:t>
            </w:r>
            <w:proofErr w:type="spellEnd"/>
            <w:r w:rsidRPr="006A3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b/>
                <w:sz w:val="20"/>
                <w:szCs w:val="20"/>
              </w:rPr>
              <w:t>punës</w:t>
            </w:r>
            <w:proofErr w:type="spellEnd"/>
          </w:p>
        </w:tc>
      </w:tr>
      <w:tr w:rsidR="0084458F" w:rsidRPr="001B34CE" w14:paraId="30168E6D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9DD29E0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C59BC" w14:textId="7A85C49A" w:rsidR="0084458F" w:rsidRPr="006A3D79" w:rsidRDefault="0084458F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L</w:t>
            </w:r>
            <w:r w:rsidR="006A3D79" w:rsidRPr="006A3D79">
              <w:rPr>
                <w:rFonts w:ascii="Arial" w:hAnsi="Arial" w:cs="Arial"/>
                <w:color w:val="404040"/>
                <w:lang w:eastAsia="en-US"/>
              </w:rPr>
              <w:t>igjerata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D2B2F3A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CBFAB2D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26</w:t>
            </w:r>
          </w:p>
        </w:tc>
      </w:tr>
      <w:tr w:rsidR="0084458F" w:rsidRPr="001B34CE" w14:paraId="5883093A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C62C476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7CD0B" w14:textId="77777777" w:rsidR="0084458F" w:rsidRPr="006A3D79" w:rsidRDefault="0084458F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Ushtrimet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021E14F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ECD6405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14</w:t>
            </w:r>
          </w:p>
        </w:tc>
      </w:tr>
      <w:tr w:rsidR="0084458F" w:rsidRPr="001B34CE" w14:paraId="3EEA5E7A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605E830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9456B" w14:textId="77777777" w:rsidR="0084458F" w:rsidRPr="006A3D79" w:rsidRDefault="0084458F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Studim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i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pavarur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7D8D464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58D4D8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</w:p>
        </w:tc>
      </w:tr>
      <w:tr w:rsidR="0084458F" w14:paraId="27B46265" w14:textId="77777777" w:rsidTr="006A3D79">
        <w:trPr>
          <w:trHeight w:hRule="exact" w:val="477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0373966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1D80C" w14:textId="634D1B1D" w:rsidR="0084458F" w:rsidRPr="006A3D79" w:rsidRDefault="006A3D79" w:rsidP="00BD7BB7">
            <w:pPr>
              <w:numPr>
                <w:ilvl w:val="0"/>
                <w:numId w:val="1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04040"/>
                <w:sz w:val="20"/>
                <w:szCs w:val="20"/>
              </w:rPr>
              <w:t>Projekti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>kërkimor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>mbi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>një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>temë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>specifike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>të</w:t>
            </w:r>
            <w:proofErr w:type="spellEnd"/>
            <w:r w:rsidR="0084458F"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shkencës</w:t>
            </w:r>
            <w:proofErr w:type="spellEnd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së</w:t>
            </w:r>
            <w:proofErr w:type="spellEnd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mjekësisë</w:t>
            </w:r>
            <w:proofErr w:type="spellEnd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ligjore</w:t>
            </w:r>
            <w:proofErr w:type="spellEnd"/>
          </w:p>
          <w:p w14:paraId="58E9FD9A" w14:textId="77777777" w:rsidR="0084458F" w:rsidRPr="006A3D79" w:rsidRDefault="0084458F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3B2F475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358FB7B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25</w:t>
            </w:r>
          </w:p>
        </w:tc>
      </w:tr>
      <w:tr w:rsidR="0084458F" w:rsidRPr="001B34CE" w14:paraId="29A35072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E2F85D2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DADEC" w14:textId="77777777" w:rsidR="0084458F" w:rsidRPr="006A3D79" w:rsidRDefault="0084458F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Vizitat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studimore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375E80A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D538F0B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</w:p>
        </w:tc>
      </w:tr>
      <w:tr w:rsidR="0084458F" w:rsidRPr="001B34CE" w14:paraId="62A94AD8" w14:textId="77777777" w:rsidTr="006002CA">
        <w:trPr>
          <w:trHeight w:hRule="exact" w:val="288"/>
        </w:trPr>
        <w:tc>
          <w:tcPr>
            <w:tcW w:w="1961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951E8C5" w14:textId="77777777" w:rsidR="0084458F" w:rsidRPr="006A3D79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BD915" w14:textId="77777777" w:rsidR="0084458F" w:rsidRPr="006A3D79" w:rsidRDefault="0084458F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lang w:eastAsia="en-US"/>
              </w:rPr>
            </w:pP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Studimi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i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color w:val="404040"/>
                <w:lang w:eastAsia="en-US"/>
              </w:rPr>
              <w:t>rasteve</w:t>
            </w:r>
            <w:proofErr w:type="spellEnd"/>
            <w:r w:rsidRPr="006A3D79">
              <w:rPr>
                <w:rFonts w:ascii="Arial" w:hAnsi="Arial" w:cs="Arial"/>
                <w:color w:val="404040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CA3DCDD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55CC2C8" w14:textId="77777777" w:rsidR="0084458F" w:rsidRPr="006A3D79" w:rsidRDefault="0084458F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A3D79">
              <w:rPr>
                <w:rFonts w:ascii="Arial" w:hAnsi="Arial" w:cs="Arial"/>
                <w:color w:val="404040"/>
                <w:sz w:val="20"/>
                <w:szCs w:val="20"/>
              </w:rPr>
              <w:t>15</w:t>
            </w:r>
          </w:p>
        </w:tc>
      </w:tr>
      <w:tr w:rsidR="0084458F" w:rsidRPr="00992DBF" w14:paraId="5DAE91CA" w14:textId="77777777" w:rsidTr="006002CA"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13A938A8" w14:textId="77777777" w:rsidR="0084458F" w:rsidRPr="001B34C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Literatura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>/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Referencat</w:t>
            </w:r>
            <w:proofErr w:type="spellEnd"/>
          </w:p>
        </w:tc>
        <w:tc>
          <w:tcPr>
            <w:tcW w:w="7389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3A74260" w14:textId="77777777" w:rsidR="00D20530" w:rsidRPr="00D20530" w:rsidRDefault="00D20530" w:rsidP="00D2053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Çipi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Spiro (2020)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Mjekësia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ligjore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kriminalistike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Tirane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. </w:t>
            </w:r>
          </w:p>
          <w:p w14:paraId="42AA021D" w14:textId="77777777" w:rsidR="00D20530" w:rsidRPr="00D20530" w:rsidRDefault="00D20530" w:rsidP="00D2053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lastRenderedPageBreak/>
              <w:t xml:space="preserve">Allwood, J. S.,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Fierer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, N., &amp; Dunn, R. R. (2020). The future of environmental DNA in forensic science. Applied and environmental microbiology, 86(2), e01504-19.</w:t>
            </w:r>
          </w:p>
          <w:p w14:paraId="0F1FF6F1" w14:textId="77777777" w:rsidR="00D20530" w:rsidRPr="00D20530" w:rsidRDefault="00D20530" w:rsidP="00D2053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Weyermann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, C., &amp; Roux, C. (2021). A different perspective on the forensic science crisis. Forensic Science International, 323, 110779.</w:t>
            </w:r>
          </w:p>
          <w:p w14:paraId="58513E50" w14:textId="77777777" w:rsidR="00D20530" w:rsidRPr="00D20530" w:rsidRDefault="00D20530" w:rsidP="00D2053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Bali, A. S., Edmond, G., Ballantyne, K. N., Kemp, R. I., &amp;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Martire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, K. A. (2020). Communicating forensic science opinion: An examination of expert reporting practices. Science &amp; Justice, 60(3), 216-224.</w:t>
            </w:r>
          </w:p>
          <w:p w14:paraId="3FD056D5" w14:textId="77777777" w:rsidR="00D20530" w:rsidRPr="00D20530" w:rsidRDefault="00D20530" w:rsidP="00D2053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Crispino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F.,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Weyermann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C.,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Delémont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O., Roux, C., &amp;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Ribaux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O. (2022). Towards another paradigm for forensic </w:t>
            </w:r>
            <w:proofErr w:type="gram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science?.</w:t>
            </w:r>
            <w:proofErr w:type="gram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Wiley Interdisciplinary Reviews: Forensic Science, 4(3), e1441</w:t>
            </w:r>
          </w:p>
          <w:p w14:paraId="36A00611" w14:textId="77777777" w:rsidR="00D20530" w:rsidRPr="00D20530" w:rsidRDefault="00D20530" w:rsidP="00D2053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Speruda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M.,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Piecuch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A.,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Borzęcka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J.,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Kadej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M., &amp; </w:t>
            </w:r>
            <w:proofErr w:type="spellStart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Ogórek</w:t>
            </w:r>
            <w:proofErr w:type="spellEnd"/>
            <w:r w:rsidRPr="00D20530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, R. (2022). Microbial traces and their role in forensic science. Journal of Applied Microbiology, 132(4), 2547-2557.</w:t>
            </w:r>
          </w:p>
          <w:p w14:paraId="3B05843B" w14:textId="3415881A" w:rsidR="0084458F" w:rsidRPr="002B5957" w:rsidRDefault="00D20530" w:rsidP="00D205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0530">
              <w:rPr>
                <w:rFonts w:ascii="Arial" w:hAnsi="Arial" w:cs="Arial"/>
                <w:sz w:val="18"/>
                <w:szCs w:val="18"/>
                <w:lang w:eastAsia="en-US"/>
              </w:rPr>
              <w:t>Morrison, G. S. (2022). Advancing a paradigm shift in evaluation of forensic evidence: The rise of forensic data science. Forensic Science International: Synergy, 5, 100270.</w:t>
            </w:r>
          </w:p>
        </w:tc>
      </w:tr>
      <w:tr w:rsidR="0084458F" w:rsidRPr="001B34CE" w14:paraId="42E5B140" w14:textId="77777777" w:rsidTr="006002CA">
        <w:trPr>
          <w:trHeight w:val="467"/>
        </w:trPr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0D1BE1BB" w14:textId="77777777" w:rsidR="0084458F" w:rsidRPr="001B34CE" w:rsidRDefault="0084458F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lastRenderedPageBreak/>
              <w:t>Kontakt</w:t>
            </w:r>
            <w:proofErr w:type="spellEnd"/>
          </w:p>
        </w:tc>
        <w:tc>
          <w:tcPr>
            <w:tcW w:w="7389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37C7878" w14:textId="77777777" w:rsidR="001B274E" w:rsidRDefault="001B274E" w:rsidP="00376B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AF7344" w14:textId="5D6D5B4C" w:rsidR="0084458F" w:rsidRPr="002B5957" w:rsidRDefault="006A3D79" w:rsidP="00376B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3D79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  <w:r w:rsidRPr="006A3D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A3D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sz w:val="18"/>
                <w:szCs w:val="18"/>
              </w:rPr>
              <w:t>Asociuar</w:t>
            </w:r>
            <w:proofErr w:type="spellEnd"/>
            <w:r w:rsidRPr="006A3D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3D79">
              <w:rPr>
                <w:rFonts w:ascii="Arial" w:hAnsi="Arial" w:cs="Arial"/>
                <w:sz w:val="18"/>
                <w:szCs w:val="18"/>
              </w:rPr>
              <w:t>Dr.Behar</w:t>
            </w:r>
            <w:proofErr w:type="spellEnd"/>
            <w:proofErr w:type="gramEnd"/>
            <w:r w:rsidRPr="006A3D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3D79">
              <w:rPr>
                <w:rFonts w:ascii="Arial" w:hAnsi="Arial" w:cs="Arial"/>
                <w:sz w:val="18"/>
                <w:szCs w:val="18"/>
              </w:rPr>
              <w:t>Selimi</w:t>
            </w:r>
            <w:proofErr w:type="spellEnd"/>
            <w:r w:rsidRPr="006A3D7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Pr="009A7B65">
                <w:rPr>
                  <w:rStyle w:val="Hyperlink"/>
                  <w:rFonts w:ascii="Arial" w:hAnsi="Arial" w:cs="Arial"/>
                  <w:sz w:val="18"/>
                  <w:szCs w:val="18"/>
                </w:rPr>
                <w:t>beharselimi@ubt-uni.net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58F" w:rsidRPr="002B5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0CDAAEA" w14:textId="77777777" w:rsidR="0084458F" w:rsidRDefault="0084458F"/>
    <w:sectPr w:rsidR="0084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E2"/>
    <w:multiLevelType w:val="hybridMultilevel"/>
    <w:tmpl w:val="DFF68996"/>
    <w:lvl w:ilvl="0" w:tplc="0D7E1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F765174"/>
    <w:multiLevelType w:val="hybridMultilevel"/>
    <w:tmpl w:val="D5827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0BF5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2F2"/>
    <w:multiLevelType w:val="hybridMultilevel"/>
    <w:tmpl w:val="21F41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4B7"/>
    <w:multiLevelType w:val="hybridMultilevel"/>
    <w:tmpl w:val="F89C09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FDA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54FD3"/>
    <w:rsid w:val="00181070"/>
    <w:rsid w:val="001A25F8"/>
    <w:rsid w:val="001A449F"/>
    <w:rsid w:val="001B0B49"/>
    <w:rsid w:val="001B274E"/>
    <w:rsid w:val="006002CA"/>
    <w:rsid w:val="006A3D79"/>
    <w:rsid w:val="00785BF9"/>
    <w:rsid w:val="007D3CDF"/>
    <w:rsid w:val="0084458F"/>
    <w:rsid w:val="008D5344"/>
    <w:rsid w:val="009775FB"/>
    <w:rsid w:val="00A14057"/>
    <w:rsid w:val="00C16A69"/>
    <w:rsid w:val="00C65A35"/>
    <w:rsid w:val="00CC76AB"/>
    <w:rsid w:val="00D20530"/>
    <w:rsid w:val="00DE5586"/>
    <w:rsid w:val="00F704F7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84458F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84458F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84458F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A3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harselim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egzona osmanaj</cp:lastModifiedBy>
  <cp:revision>2</cp:revision>
  <dcterms:created xsi:type="dcterms:W3CDTF">2024-02-06T19:24:00Z</dcterms:created>
  <dcterms:modified xsi:type="dcterms:W3CDTF">2024-02-06T19:24:00Z</dcterms:modified>
</cp:coreProperties>
</file>