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2"/>
        <w:gridCol w:w="3066"/>
        <w:gridCol w:w="1242"/>
        <w:gridCol w:w="1661"/>
        <w:gridCol w:w="1619"/>
      </w:tblGrid>
      <w:tr w:rsidR="008B280D" w:rsidRPr="00E26060" w14:paraId="0EB45E83" w14:textId="77777777" w:rsidTr="004A16DA">
        <w:tc>
          <w:tcPr>
            <w:tcW w:w="24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BEBF58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  <w:p w14:paraId="66373A12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FBBB24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3">
              <w:rPr>
                <w:rFonts w:ascii="Times New Roman" w:hAnsi="Times New Roman" w:cs="Times New Roman"/>
                <w:b/>
                <w:sz w:val="24"/>
                <w:szCs w:val="24"/>
              </w:rPr>
              <w:t>Teknikat e Raportimit</w:t>
            </w:r>
          </w:p>
        </w:tc>
      </w:tr>
      <w:tr w:rsidR="008B280D" w:rsidRPr="00E26060" w14:paraId="1FEAFDCE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89A8AF3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D1716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Lloj </w:t>
            </w:r>
          </w:p>
          <w:p w14:paraId="4CF96B0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8C55EC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C8F8C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FDC7E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8B280D" w:rsidRPr="00E26060" w14:paraId="69920C77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1517783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06CA30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14:paraId="22B7792C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B04BD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5AACE2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A7270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90RTE157</w:t>
            </w:r>
          </w:p>
        </w:tc>
      </w:tr>
      <w:tr w:rsidR="008B280D" w:rsidRPr="00E26060" w14:paraId="7E651335" w14:textId="77777777" w:rsidTr="004A16DA">
        <w:trPr>
          <w:trHeight w:hRule="exact" w:val="725"/>
        </w:trPr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2F51CE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Ligjeruesi</w:t>
            </w:r>
            <w:proofErr w:type="spellEnd"/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lëndës</w:t>
            </w:r>
          </w:p>
        </w:tc>
        <w:tc>
          <w:tcPr>
            <w:tcW w:w="7588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062A46F" w14:textId="77777777" w:rsidR="008B280D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Sabedini</w:t>
            </w:r>
            <w:proofErr w:type="spellEnd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4AF9FC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Ejup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Gojnovci</w:t>
            </w:r>
            <w:proofErr w:type="spellEnd"/>
          </w:p>
        </w:tc>
      </w:tr>
      <w:tr w:rsidR="008B280D" w:rsidRPr="00E26060" w14:paraId="180E9DC6" w14:textId="77777777" w:rsidTr="004A16DA"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69ED03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758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6A07B" w14:textId="77777777" w:rsidR="008B280D" w:rsidRPr="008B280D" w:rsidRDefault="008B280D" w:rsidP="004A16DA">
            <w:pPr>
              <w:autoSpaceDE w:val="0"/>
              <w:autoSpaceDN w:val="0"/>
              <w:adjustRightInd w:val="0"/>
              <w:jc w:val="both"/>
            </w:pPr>
            <w:r w:rsidRPr="00FB31D7">
              <w:t xml:space="preserve">Qëllimi parësor i këtij kursi është që studentët të pajisen me njohuritë bazë për mënyrat e mbledhjes, verifikimit dhe raportimit të informacionit, në veprimtarinë mediatike. </w:t>
            </w:r>
            <w:r w:rsidRPr="008B280D">
              <w:t xml:space="preserve">Kjo lëndë gjithashtu ka për qëllim që studentët t’i pajis me njohuri të domosdoshme teorike për veprimet profesionale dhe qasjen që duhet të kenë ndaj burimeve dhe informacionit, në rastet e artikujve (rrëfimeve) me disa burime të informacionit. Kujdes dhe theks i veçantë në këtë kurs u kushtohet zbatimit të parimeve etike, në procesin e mbledhjes dhe raportimit të informacionit. </w:t>
            </w:r>
          </w:p>
          <w:p w14:paraId="346741A3" w14:textId="77777777" w:rsidR="008B280D" w:rsidRPr="008B280D" w:rsidRDefault="008B280D" w:rsidP="004A16DA">
            <w:pPr>
              <w:autoSpaceDE w:val="0"/>
              <w:autoSpaceDN w:val="0"/>
              <w:adjustRightInd w:val="0"/>
              <w:jc w:val="both"/>
            </w:pPr>
          </w:p>
          <w:p w14:paraId="784DD178" w14:textId="77777777" w:rsidR="008B280D" w:rsidRPr="00B11D46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B11D46">
              <w:rPr>
                <w:lang w:val="sv-SE"/>
              </w:rPr>
              <w:t>Objektivat kryesore të kursit janë:</w:t>
            </w:r>
          </w:p>
          <w:p w14:paraId="5C69DED4" w14:textId="77777777" w:rsidR="008B280D" w:rsidRPr="00B11D46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lang w:val="sv-SE"/>
              </w:rPr>
            </w:pPr>
            <w:r w:rsidRPr="00B11D46">
              <w:rPr>
                <w:lang w:val="sv-SE"/>
              </w:rPr>
              <w:t>Të ofrojë njohuritë bazike për profesionistin e medias në lëmin e mbledhjes së informacionit, që do të transmetohet përmes kanalit të komunikimit tek publiku;</w:t>
            </w:r>
          </w:p>
          <w:p w14:paraId="64965D21" w14:textId="77777777" w:rsidR="008B280D" w:rsidRPr="00B11D46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lang w:val="sv-SE"/>
              </w:rPr>
            </w:pPr>
            <w:r w:rsidRPr="00B11D46">
              <w:rPr>
                <w:lang w:val="sv-SE"/>
              </w:rPr>
              <w:t>Të aftësojë studentët për veçantitë e raportimit të zhanreve të ndryshme (lajmi, raporti, raporti i zgjeruar, artikulli problemor) dhe mediumeve të ndryshme (gazetë, radio, televizion, ueb).</w:t>
            </w:r>
          </w:p>
          <w:p w14:paraId="777FAD53" w14:textId="77777777" w:rsidR="008B280D" w:rsidRPr="00B11D46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lang w:val="sv-SE"/>
              </w:rPr>
            </w:pPr>
            <w:r w:rsidRPr="00B11D46">
              <w:rPr>
                <w:lang w:val="sv-SE"/>
              </w:rPr>
              <w:t>Të pajis studentët me njohuritë e domosdoshme për mënyrat e verifikimit të saktësisë së informacionit;</w:t>
            </w:r>
          </w:p>
          <w:p w14:paraId="78295065" w14:textId="77777777" w:rsidR="008B280D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Të </w:t>
            </w:r>
            <w:proofErr w:type="spellStart"/>
            <w:r>
              <w:rPr>
                <w:lang w:val="en"/>
              </w:rPr>
              <w:t>shtjellojë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teknikat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intervistimit</w:t>
            </w:r>
            <w:proofErr w:type="spellEnd"/>
            <w:r>
              <w:rPr>
                <w:lang w:val="en"/>
              </w:rPr>
              <w:t xml:space="preserve"> të </w:t>
            </w:r>
            <w:proofErr w:type="spellStart"/>
            <w:r>
              <w:rPr>
                <w:lang w:val="en"/>
              </w:rPr>
              <w:t>burimeve</w:t>
            </w:r>
            <w:proofErr w:type="spellEnd"/>
            <w:r>
              <w:rPr>
                <w:lang w:val="en"/>
              </w:rPr>
              <w:t xml:space="preserve"> të </w:t>
            </w:r>
            <w:proofErr w:type="spellStart"/>
            <w:r>
              <w:rPr>
                <w:lang w:val="en"/>
              </w:rPr>
              <w:t>informacionit</w:t>
            </w:r>
            <w:proofErr w:type="spellEnd"/>
            <w:r>
              <w:rPr>
                <w:lang w:val="en"/>
              </w:rPr>
              <w:t>;</w:t>
            </w:r>
          </w:p>
          <w:p w14:paraId="63FE2DA6" w14:textId="77777777" w:rsidR="008B280D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Të </w:t>
            </w:r>
            <w:proofErr w:type="spellStart"/>
            <w:r>
              <w:rPr>
                <w:lang w:val="en"/>
              </w:rPr>
              <w:t>trajtojë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qasjet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specifike</w:t>
            </w:r>
            <w:proofErr w:type="spellEnd"/>
            <w:r>
              <w:rPr>
                <w:lang w:val="en"/>
              </w:rPr>
              <w:t xml:space="preserve"> ndaj </w:t>
            </w:r>
            <w:proofErr w:type="spellStart"/>
            <w:r>
              <w:rPr>
                <w:lang w:val="en"/>
              </w:rPr>
              <w:t>burimeve</w:t>
            </w:r>
            <w:proofErr w:type="spellEnd"/>
            <w:r>
              <w:rPr>
                <w:lang w:val="en"/>
              </w:rPr>
              <w:t xml:space="preserve"> të </w:t>
            </w:r>
            <w:proofErr w:type="spellStart"/>
            <w:r>
              <w:rPr>
                <w:lang w:val="en"/>
              </w:rPr>
              <w:t>ndryshme</w:t>
            </w:r>
            <w:proofErr w:type="spellEnd"/>
            <w:r>
              <w:rPr>
                <w:lang w:val="en"/>
              </w:rPr>
              <w:t xml:space="preserve"> të </w:t>
            </w:r>
            <w:proofErr w:type="spellStart"/>
            <w:r>
              <w:rPr>
                <w:lang w:val="en"/>
              </w:rPr>
              <w:t>informacionit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posaçërisht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burimeve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anonime</w:t>
            </w:r>
            <w:proofErr w:type="spellEnd"/>
            <w:r>
              <w:rPr>
                <w:lang w:val="en"/>
              </w:rPr>
              <w:t>;</w:t>
            </w:r>
          </w:p>
          <w:p w14:paraId="292A15FE" w14:textId="77777777" w:rsidR="008B280D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Të </w:t>
            </w:r>
            <w:proofErr w:type="spellStart"/>
            <w:r>
              <w:rPr>
                <w:lang w:val="en"/>
              </w:rPr>
              <w:t>ngris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nivelin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vetëdijesimit</w:t>
            </w:r>
            <w:proofErr w:type="spellEnd"/>
            <w:r>
              <w:rPr>
                <w:lang w:val="en"/>
              </w:rPr>
              <w:t xml:space="preserve"> për </w:t>
            </w:r>
            <w:proofErr w:type="spellStart"/>
            <w:r>
              <w:rPr>
                <w:lang w:val="en"/>
              </w:rPr>
              <w:t>domosdoshmërinë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zbatimit</w:t>
            </w:r>
            <w:proofErr w:type="spellEnd"/>
            <w:r>
              <w:rPr>
                <w:lang w:val="en"/>
              </w:rPr>
              <w:t xml:space="preserve"> të </w:t>
            </w:r>
            <w:proofErr w:type="spellStart"/>
            <w:r>
              <w:rPr>
                <w:lang w:val="en"/>
              </w:rPr>
              <w:t>parimeve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etike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gjatë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veprimtarisë</w:t>
            </w:r>
            <w:proofErr w:type="spellEnd"/>
            <w:r>
              <w:rPr>
                <w:lang w:val="en"/>
              </w:rPr>
              <w:t xml:space="preserve"> së </w:t>
            </w:r>
            <w:proofErr w:type="spellStart"/>
            <w:r>
              <w:rPr>
                <w:lang w:val="en"/>
              </w:rPr>
              <w:t>profesionistit</w:t>
            </w:r>
            <w:proofErr w:type="spellEnd"/>
            <w:r>
              <w:rPr>
                <w:lang w:val="en"/>
              </w:rPr>
              <w:t xml:space="preserve"> të medias;</w:t>
            </w:r>
          </w:p>
          <w:p w14:paraId="4E9A7F33" w14:textId="77777777" w:rsidR="008B280D" w:rsidRPr="00E26060" w:rsidRDefault="008B280D" w:rsidP="004A16D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280D" w:rsidRPr="00E26060" w14:paraId="476698C1" w14:textId="77777777" w:rsidTr="004A16DA"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3C76B0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Rezultatet e pritshme</w:t>
            </w:r>
          </w:p>
        </w:tc>
        <w:tc>
          <w:tcPr>
            <w:tcW w:w="758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61CAEE" w14:textId="77777777" w:rsidR="008B280D" w:rsidRPr="00E26060" w:rsidRDefault="008B280D" w:rsidP="004A16DA">
            <w:pPr>
              <w:pStyle w:val="NoSpacing"/>
              <w:tabs>
                <w:tab w:val="left" w:pos="173"/>
              </w:tabs>
              <w:ind w:left="26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B2C8B5" w14:textId="77777777" w:rsidR="008B280D" w:rsidRPr="00FB31D7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</w:pPr>
            <w:r w:rsidRPr="00FB31D7">
              <w:t xml:space="preserve">Nga ky kurs studentët do të përfitojnë njohuritë bazë për teknikat e raportimit të informacionit për </w:t>
            </w:r>
            <w:proofErr w:type="spellStart"/>
            <w:r w:rsidRPr="00FB31D7">
              <w:t>mediat</w:t>
            </w:r>
            <w:proofErr w:type="spellEnd"/>
            <w:r w:rsidRPr="00FB31D7">
              <w:t xml:space="preserve"> e shkruara, ato elektronike dhe </w:t>
            </w:r>
            <w:proofErr w:type="spellStart"/>
            <w:r w:rsidRPr="00FB31D7">
              <w:t>mediat</w:t>
            </w:r>
            <w:proofErr w:type="spellEnd"/>
            <w:r w:rsidRPr="00FB31D7">
              <w:t xml:space="preserve"> në ueb;</w:t>
            </w:r>
          </w:p>
          <w:p w14:paraId="13CA7CBB" w14:textId="77777777" w:rsidR="008B280D" w:rsidRPr="00FB31D7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</w:pPr>
            <w:r w:rsidRPr="00FB31D7">
              <w:t>Studentët do të përvetësojnë mënyrat e mbledhjes dhe verifikimit të informacionit për artikujt (materialet), që përgatiten për t’u përcjell tek publiku;</w:t>
            </w:r>
          </w:p>
          <w:p w14:paraId="5A1FD585" w14:textId="77777777" w:rsidR="008B280D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Studentët do të </w:t>
            </w:r>
            <w:proofErr w:type="spellStart"/>
            <w:r>
              <w:rPr>
                <w:lang w:val="en"/>
              </w:rPr>
              <w:t>pajisen</w:t>
            </w:r>
            <w:proofErr w:type="spellEnd"/>
            <w:r>
              <w:rPr>
                <w:lang w:val="en"/>
              </w:rPr>
              <w:t xml:space="preserve"> me </w:t>
            </w:r>
            <w:proofErr w:type="spellStart"/>
            <w:r>
              <w:rPr>
                <w:lang w:val="en"/>
              </w:rPr>
              <w:t>njohuritë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domosdoshme</w:t>
            </w:r>
            <w:proofErr w:type="spellEnd"/>
            <w:r>
              <w:rPr>
                <w:lang w:val="en"/>
              </w:rPr>
              <w:t xml:space="preserve"> për </w:t>
            </w:r>
            <w:proofErr w:type="spellStart"/>
            <w:r>
              <w:rPr>
                <w:lang w:val="en"/>
              </w:rPr>
              <w:t>mënyrën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reagimit</w:t>
            </w:r>
            <w:proofErr w:type="spellEnd"/>
            <w:r>
              <w:rPr>
                <w:lang w:val="en"/>
              </w:rPr>
              <w:t xml:space="preserve"> në </w:t>
            </w:r>
            <w:proofErr w:type="spellStart"/>
            <w:r>
              <w:rPr>
                <w:lang w:val="en"/>
              </w:rPr>
              <w:t>rastet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raportimit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nga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zhvillimet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politike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ekonomike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sociale</w:t>
            </w:r>
            <w:proofErr w:type="spellEnd"/>
            <w:r>
              <w:rPr>
                <w:lang w:val="en"/>
              </w:rPr>
              <w:t xml:space="preserve"> etj;</w:t>
            </w:r>
          </w:p>
          <w:p w14:paraId="124F2304" w14:textId="77777777" w:rsidR="008B280D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Studentët do të </w:t>
            </w:r>
            <w:proofErr w:type="spellStart"/>
            <w:r>
              <w:rPr>
                <w:lang w:val="en"/>
              </w:rPr>
              <w:t>zotërojnë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qasjen</w:t>
            </w:r>
            <w:proofErr w:type="spellEnd"/>
            <w:r>
              <w:rPr>
                <w:lang w:val="en"/>
              </w:rPr>
              <w:t xml:space="preserve"> ndaj </w:t>
            </w:r>
            <w:proofErr w:type="spellStart"/>
            <w:r>
              <w:rPr>
                <w:lang w:val="en"/>
              </w:rPr>
              <w:t>burimeve</w:t>
            </w:r>
            <w:proofErr w:type="spellEnd"/>
            <w:r>
              <w:rPr>
                <w:lang w:val="en"/>
              </w:rPr>
              <w:t xml:space="preserve"> të </w:t>
            </w:r>
            <w:proofErr w:type="spellStart"/>
            <w:r>
              <w:rPr>
                <w:lang w:val="en"/>
              </w:rPr>
              <w:t>informacionit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përfshirë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qasjen</w:t>
            </w:r>
            <w:proofErr w:type="spellEnd"/>
            <w:r>
              <w:rPr>
                <w:lang w:val="en"/>
              </w:rPr>
              <w:t xml:space="preserve"> dhe </w:t>
            </w:r>
            <w:proofErr w:type="spellStart"/>
            <w:r>
              <w:rPr>
                <w:lang w:val="en"/>
              </w:rPr>
              <w:t>trajtimin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burimeve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anonime</w:t>
            </w:r>
            <w:proofErr w:type="spellEnd"/>
            <w:r>
              <w:rPr>
                <w:lang w:val="en"/>
              </w:rPr>
              <w:t xml:space="preserve"> në </w:t>
            </w:r>
            <w:proofErr w:type="spellStart"/>
            <w:r>
              <w:rPr>
                <w:lang w:val="en"/>
              </w:rPr>
              <w:t>gazetarinë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hulumtuese</w:t>
            </w:r>
            <w:proofErr w:type="spellEnd"/>
            <w:r>
              <w:rPr>
                <w:lang w:val="en"/>
              </w:rPr>
              <w:t>;</w:t>
            </w:r>
          </w:p>
          <w:p w14:paraId="00FEFFD0" w14:textId="77777777" w:rsidR="008B280D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720" w:hanging="360"/>
              <w:jc w:val="both"/>
              <w:rPr>
                <w:lang w:val="en"/>
              </w:rPr>
            </w:pPr>
            <w:r>
              <w:rPr>
                <w:lang w:val="en"/>
              </w:rPr>
              <w:lastRenderedPageBreak/>
              <w:t xml:space="preserve">Përmes këtij </w:t>
            </w:r>
            <w:proofErr w:type="spellStart"/>
            <w:r>
              <w:rPr>
                <w:lang w:val="en"/>
              </w:rPr>
              <w:t>kursi</w:t>
            </w:r>
            <w:proofErr w:type="spellEnd"/>
            <w:r>
              <w:rPr>
                <w:lang w:val="en"/>
              </w:rPr>
              <w:t xml:space="preserve"> do të </w:t>
            </w:r>
            <w:proofErr w:type="spellStart"/>
            <w:r>
              <w:rPr>
                <w:lang w:val="en"/>
              </w:rPr>
              <w:t>ngritët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niveli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vetëdijesimit</w:t>
            </w:r>
            <w:proofErr w:type="spellEnd"/>
            <w:r>
              <w:rPr>
                <w:lang w:val="en"/>
              </w:rPr>
              <w:t xml:space="preserve"> të studentëve për </w:t>
            </w:r>
            <w:proofErr w:type="spellStart"/>
            <w:r>
              <w:rPr>
                <w:lang w:val="en"/>
              </w:rPr>
              <w:t>zbatimin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parimeve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gazetareske</w:t>
            </w:r>
            <w:proofErr w:type="spellEnd"/>
            <w:r>
              <w:rPr>
                <w:lang w:val="en"/>
              </w:rPr>
              <w:t xml:space="preserve"> (</w:t>
            </w:r>
            <w:proofErr w:type="spellStart"/>
            <w:r>
              <w:rPr>
                <w:lang w:val="en"/>
              </w:rPr>
              <w:t>saktësisë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objektivitetit</w:t>
            </w:r>
            <w:proofErr w:type="spellEnd"/>
            <w:r>
              <w:rPr>
                <w:lang w:val="en"/>
              </w:rPr>
              <w:t xml:space="preserve">, etj.) në </w:t>
            </w:r>
            <w:proofErr w:type="spellStart"/>
            <w:r>
              <w:rPr>
                <w:lang w:val="en"/>
              </w:rPr>
              <w:t>procesin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mbledhjes</w:t>
            </w:r>
            <w:proofErr w:type="spellEnd"/>
            <w:r>
              <w:rPr>
                <w:lang w:val="en"/>
              </w:rPr>
              <w:t xml:space="preserve"> së </w:t>
            </w:r>
            <w:proofErr w:type="spellStart"/>
            <w:r>
              <w:rPr>
                <w:lang w:val="en"/>
              </w:rPr>
              <w:t>fakteve</w:t>
            </w:r>
            <w:proofErr w:type="spellEnd"/>
            <w:r>
              <w:rPr>
                <w:lang w:val="en"/>
              </w:rPr>
              <w:t xml:space="preserve"> dhe </w:t>
            </w:r>
            <w:proofErr w:type="spellStart"/>
            <w:r>
              <w:rPr>
                <w:lang w:val="en"/>
              </w:rPr>
              <w:t>raportimit</w:t>
            </w:r>
            <w:proofErr w:type="spellEnd"/>
            <w:r>
              <w:rPr>
                <w:lang w:val="en"/>
              </w:rPr>
              <w:t xml:space="preserve"> të </w:t>
            </w:r>
            <w:proofErr w:type="spellStart"/>
            <w:r>
              <w:rPr>
                <w:lang w:val="en"/>
              </w:rPr>
              <w:t>zhvillimeve</w:t>
            </w:r>
            <w:proofErr w:type="spellEnd"/>
            <w:r>
              <w:rPr>
                <w:lang w:val="en"/>
              </w:rPr>
              <w:t xml:space="preserve"> të </w:t>
            </w:r>
            <w:proofErr w:type="spellStart"/>
            <w:r>
              <w:rPr>
                <w:lang w:val="en"/>
              </w:rPr>
              <w:t>rëndësishme</w:t>
            </w:r>
            <w:proofErr w:type="spellEnd"/>
            <w:r>
              <w:rPr>
                <w:lang w:val="en"/>
              </w:rPr>
              <w:t xml:space="preserve"> me </w:t>
            </w:r>
            <w:proofErr w:type="spellStart"/>
            <w:r>
              <w:rPr>
                <w:lang w:val="en"/>
              </w:rPr>
              <w:t>ndikim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shoqëror</w:t>
            </w:r>
            <w:proofErr w:type="spellEnd"/>
            <w:r>
              <w:rPr>
                <w:lang w:val="en"/>
              </w:rPr>
              <w:t>;</w:t>
            </w:r>
          </w:p>
          <w:p w14:paraId="51A87A3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 xml:space="preserve">Nga </w:t>
            </w:r>
            <w:proofErr w:type="spellStart"/>
            <w:r>
              <w:rPr>
                <w:lang w:val="en"/>
              </w:rPr>
              <w:t>ky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kurs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studentët</w:t>
            </w:r>
            <w:proofErr w:type="spellEnd"/>
            <w:r>
              <w:rPr>
                <w:lang w:val="en"/>
              </w:rPr>
              <w:t xml:space="preserve"> do të </w:t>
            </w:r>
            <w:proofErr w:type="spellStart"/>
            <w:r>
              <w:rPr>
                <w:lang w:val="en"/>
              </w:rPr>
              <w:t>përfitojnë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njohurit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bazike</w:t>
            </w:r>
            <w:proofErr w:type="spellEnd"/>
            <w:r>
              <w:rPr>
                <w:lang w:val="en"/>
              </w:rPr>
              <w:t xml:space="preserve"> për </w:t>
            </w:r>
            <w:proofErr w:type="spellStart"/>
            <w:r>
              <w:rPr>
                <w:lang w:val="en"/>
              </w:rPr>
              <w:t>rëndësinë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zbatimit</w:t>
            </w:r>
            <w:proofErr w:type="spellEnd"/>
            <w:r>
              <w:rPr>
                <w:lang w:val="en"/>
              </w:rPr>
              <w:t xml:space="preserve"> të </w:t>
            </w:r>
            <w:proofErr w:type="spellStart"/>
            <w:r>
              <w:rPr>
                <w:lang w:val="en"/>
              </w:rPr>
              <w:t>kodeve</w:t>
            </w:r>
            <w:proofErr w:type="spellEnd"/>
            <w:r>
              <w:rPr>
                <w:lang w:val="en"/>
              </w:rPr>
              <w:t xml:space="preserve"> të </w:t>
            </w:r>
            <w:proofErr w:type="spellStart"/>
            <w:r>
              <w:rPr>
                <w:lang w:val="en"/>
              </w:rPr>
              <w:t>etikës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profesionale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gjatë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punës</w:t>
            </w:r>
            <w:proofErr w:type="spellEnd"/>
            <w:r>
              <w:rPr>
                <w:lang w:val="en"/>
              </w:rPr>
              <w:t xml:space="preserve"> në </w:t>
            </w:r>
            <w:proofErr w:type="spellStart"/>
            <w:r>
              <w:rPr>
                <w:lang w:val="en"/>
              </w:rPr>
              <w:t>redaksi</w:t>
            </w:r>
            <w:proofErr w:type="spellEnd"/>
            <w:r>
              <w:rPr>
                <w:lang w:val="en"/>
              </w:rPr>
              <w:t xml:space="preserve"> dhe në </w:t>
            </w:r>
            <w:proofErr w:type="spellStart"/>
            <w:r>
              <w:rPr>
                <w:lang w:val="en"/>
              </w:rPr>
              <w:t>raportet</w:t>
            </w:r>
            <w:proofErr w:type="spellEnd"/>
            <w:r>
              <w:rPr>
                <w:lang w:val="en"/>
              </w:rPr>
              <w:t xml:space="preserve"> me </w:t>
            </w:r>
            <w:proofErr w:type="spellStart"/>
            <w:r>
              <w:rPr>
                <w:lang w:val="en"/>
              </w:rPr>
              <w:t>palët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përfshira</w:t>
            </w:r>
            <w:proofErr w:type="spellEnd"/>
            <w:r>
              <w:rPr>
                <w:lang w:val="en"/>
              </w:rPr>
              <w:t xml:space="preserve"> në </w:t>
            </w:r>
            <w:proofErr w:type="spellStart"/>
            <w:r>
              <w:rPr>
                <w:lang w:val="en"/>
              </w:rPr>
              <w:t>zhvillimet</w:t>
            </w:r>
            <w:proofErr w:type="spellEnd"/>
            <w:r>
              <w:rPr>
                <w:lang w:val="en"/>
              </w:rPr>
              <w:t xml:space="preserve"> që </w:t>
            </w:r>
            <w:proofErr w:type="spellStart"/>
            <w:r>
              <w:rPr>
                <w:lang w:val="en"/>
              </w:rPr>
              <w:t>mbulojnë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gazetarët</w:t>
            </w:r>
            <w:proofErr w:type="spellEnd"/>
            <w:r>
              <w:rPr>
                <w:lang w:val="en"/>
              </w:rPr>
              <w:t>.</w:t>
            </w:r>
          </w:p>
        </w:tc>
      </w:tr>
      <w:tr w:rsidR="008B280D" w:rsidRPr="00E26060" w14:paraId="31B87104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5FF0F8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Përmbajtja</w:t>
            </w:r>
          </w:p>
        </w:tc>
        <w:tc>
          <w:tcPr>
            <w:tcW w:w="5969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04CCE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Plani javor</w:t>
            </w:r>
          </w:p>
        </w:tc>
        <w:tc>
          <w:tcPr>
            <w:tcW w:w="161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3649C3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</w:tr>
      <w:tr w:rsidR="008B280D" w:rsidRPr="00E26060" w14:paraId="3D9D0B5A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BD4829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3AAE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Hyrje</w:t>
            </w:r>
            <w:proofErr w:type="spellEnd"/>
            <w:r>
              <w:rPr>
                <w:lang w:val="en"/>
              </w:rPr>
              <w:t xml:space="preserve"> në </w:t>
            </w:r>
            <w:proofErr w:type="spellStart"/>
            <w:r>
              <w:rPr>
                <w:lang w:val="en"/>
              </w:rPr>
              <w:t>lëndë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BE07960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</w:t>
            </w:r>
          </w:p>
        </w:tc>
      </w:tr>
      <w:tr w:rsidR="008B280D" w:rsidRPr="00E26060" w14:paraId="4D418F53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CC94D5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9E889" w14:textId="77777777" w:rsidR="008B280D" w:rsidRPr="00B11D46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B11D46">
              <w:rPr>
                <w:lang w:val="it-IT"/>
              </w:rPr>
              <w:t>Veçantitë e raportimit në mediat e shkruara dhe</w:t>
            </w:r>
            <w:r w:rsidRPr="00B11D46">
              <w:rPr>
                <w:b/>
                <w:bCs/>
                <w:lang w:val="it-IT"/>
              </w:rPr>
              <w:t xml:space="preserve"> </w:t>
            </w:r>
            <w:r w:rsidRPr="00B11D46">
              <w:rPr>
                <w:lang w:val="it-IT"/>
              </w:rPr>
              <w:t>elektronike</w:t>
            </w:r>
          </w:p>
          <w:p w14:paraId="4E4AC45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55BC92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2</w:t>
            </w:r>
          </w:p>
        </w:tc>
      </w:tr>
      <w:tr w:rsidR="008B280D" w:rsidRPr="00E26060" w14:paraId="0CE84FB3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724440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2E1C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6">
              <w:rPr>
                <w:lang w:val="it-IT"/>
              </w:rPr>
              <w:t>Parimet e përgjithshme të raportimit në media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7ACD80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3</w:t>
            </w:r>
          </w:p>
        </w:tc>
      </w:tr>
      <w:tr w:rsidR="008B280D" w:rsidRPr="00E26060" w14:paraId="421DE662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746409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9EF3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6">
              <w:rPr>
                <w:lang w:val="it-IT"/>
              </w:rPr>
              <w:t>Nga raportimi tek shkrimi i informacionit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CCC3BC5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4</w:t>
            </w:r>
          </w:p>
        </w:tc>
      </w:tr>
      <w:tr w:rsidR="008B280D" w:rsidRPr="00E26060" w14:paraId="260F2FE3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01C1426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DA16A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6">
              <w:rPr>
                <w:lang w:val="it-IT"/>
              </w:rPr>
              <w:t>Mbledhja dhe verifikimi i informacionit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7662E67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5</w:t>
            </w:r>
          </w:p>
        </w:tc>
      </w:tr>
      <w:tr w:rsidR="008B280D" w:rsidRPr="00E26060" w14:paraId="4248400F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FACE4B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F24B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 xml:space="preserve">Testi </w:t>
            </w:r>
            <w:proofErr w:type="spellStart"/>
            <w:r>
              <w:rPr>
                <w:lang w:val="en"/>
              </w:rPr>
              <w:t>intermediar</w:t>
            </w:r>
            <w:proofErr w:type="spellEnd"/>
            <w:r>
              <w:rPr>
                <w:lang w:val="en"/>
              </w:rPr>
              <w:t xml:space="preserve"> (</w:t>
            </w:r>
            <w:proofErr w:type="spellStart"/>
            <w:r>
              <w:rPr>
                <w:lang w:val="en"/>
              </w:rPr>
              <w:t>kollokvium</w:t>
            </w:r>
            <w:proofErr w:type="spellEnd"/>
            <w:r>
              <w:rPr>
                <w:lang w:val="en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3C11B7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6</w:t>
            </w:r>
          </w:p>
        </w:tc>
      </w:tr>
      <w:tr w:rsidR="008B280D" w:rsidRPr="00E26060" w14:paraId="044D8FBA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8CE5B62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4B9E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Burimet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informacionit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7ADDEE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7</w:t>
            </w:r>
          </w:p>
        </w:tc>
      </w:tr>
      <w:tr w:rsidR="008B280D" w:rsidRPr="00E26060" w14:paraId="55224052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E8F8872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247E4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Teknikat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intervistimit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23CE4CC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8</w:t>
            </w:r>
          </w:p>
        </w:tc>
      </w:tr>
      <w:tr w:rsidR="008B280D" w:rsidRPr="00E26060" w14:paraId="4A097DEE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E0A7E4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C3B20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Raportimi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hulumtues</w:t>
            </w:r>
            <w:proofErr w:type="spellEnd"/>
            <w:r>
              <w:rPr>
                <w:lang w:val="en"/>
              </w:rPr>
              <w:t xml:space="preserve"> (</w:t>
            </w:r>
            <w:proofErr w:type="spellStart"/>
            <w:r>
              <w:rPr>
                <w:lang w:val="en"/>
              </w:rPr>
              <w:t>investigativ</w:t>
            </w:r>
            <w:proofErr w:type="spellEnd"/>
            <w:r>
              <w:rPr>
                <w:lang w:val="en"/>
              </w:rPr>
              <w:t>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B94E45C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9</w:t>
            </w:r>
          </w:p>
        </w:tc>
      </w:tr>
      <w:tr w:rsidR="008B280D" w:rsidRPr="00E26060" w14:paraId="00D5813E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30EB80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777C0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D46">
              <w:rPr>
                <w:lang w:val="it-IT"/>
              </w:rPr>
              <w:t>Veçantitë e raportimit nga “ngjarjet ditore”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349C9F4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10</w:t>
            </w:r>
          </w:p>
        </w:tc>
      </w:tr>
      <w:tr w:rsidR="008B280D" w:rsidRPr="00E26060" w14:paraId="07EF6DC2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9CBD4B5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BEB8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Raportimi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nga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situatat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jashtëzakonshme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D77CC8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11</w:t>
            </w:r>
          </w:p>
        </w:tc>
      </w:tr>
      <w:tr w:rsidR="008B280D" w:rsidRPr="00E26060" w14:paraId="2BBAF0C4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7525CDC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10BE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Raportimi</w:t>
            </w:r>
            <w:proofErr w:type="spellEnd"/>
            <w:r>
              <w:rPr>
                <w:lang w:val="en"/>
              </w:rPr>
              <w:t xml:space="preserve"> për </w:t>
            </w:r>
            <w:proofErr w:type="spellStart"/>
            <w:r>
              <w:rPr>
                <w:lang w:val="en"/>
              </w:rPr>
              <w:t>ueb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1F3A983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12</w:t>
            </w:r>
          </w:p>
        </w:tc>
      </w:tr>
      <w:tr w:rsidR="008B280D" w:rsidRPr="00E26060" w14:paraId="41358126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DB35184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B0547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 xml:space="preserve">Raste </w:t>
            </w:r>
            <w:proofErr w:type="spellStart"/>
            <w:r>
              <w:rPr>
                <w:lang w:val="en"/>
              </w:rPr>
              <w:t>studimore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1643D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13</w:t>
            </w:r>
          </w:p>
        </w:tc>
      </w:tr>
      <w:tr w:rsidR="008B280D" w:rsidRPr="00E26060" w14:paraId="7E581673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CA853D0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43791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Përmbledhje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lëndës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F489D2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14</w:t>
            </w:r>
          </w:p>
        </w:tc>
      </w:tr>
      <w:tr w:rsidR="008B280D" w:rsidRPr="00E26060" w14:paraId="76CC4F35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4623FD4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759D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Përmbledhje</w:t>
            </w:r>
            <w:proofErr w:type="spellEnd"/>
            <w:r>
              <w:rPr>
                <w:lang w:val="en"/>
              </w:rPr>
              <w:t xml:space="preserve">. </w:t>
            </w:r>
            <w:proofErr w:type="spellStart"/>
            <w:r>
              <w:rPr>
                <w:lang w:val="en"/>
              </w:rPr>
              <w:t>Provimi</w:t>
            </w:r>
            <w:proofErr w:type="spellEnd"/>
            <w:r>
              <w:rPr>
                <w:lang w:val="en"/>
              </w:rPr>
              <w:t xml:space="preserve"> final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E7E854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15</w:t>
            </w:r>
          </w:p>
        </w:tc>
      </w:tr>
      <w:tr w:rsidR="008B280D" w:rsidRPr="00E26060" w14:paraId="64AC3073" w14:textId="77777777" w:rsidTr="004A16DA">
        <w:trPr>
          <w:trHeight w:val="306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707909A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  <w:gridSpan w:val="4"/>
            <w:tcBorders>
              <w:top w:val="nil"/>
              <w:left w:val="nil"/>
              <w:right w:val="single" w:sz="4" w:space="0" w:color="7F7F7F" w:themeColor="text1" w:themeTint="80"/>
            </w:tcBorders>
          </w:tcPr>
          <w:p w14:paraId="1843309A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0084CD79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CCBA7E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654D6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18DDA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mësimdhënies</w:t>
            </w:r>
          </w:p>
        </w:tc>
        <w:tc>
          <w:tcPr>
            <w:tcW w:w="5969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4BC4A0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  <w:tc>
          <w:tcPr>
            <w:tcW w:w="161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C3258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8B280D" w:rsidRPr="00E26060" w14:paraId="0869C8B7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1CB4B5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6EF4C" w14:textId="77777777" w:rsidR="008B280D" w:rsidRPr="00E26060" w:rsidRDefault="008B280D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E72B02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362F4693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D45D7EA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91821" w14:textId="77777777" w:rsidR="008B280D" w:rsidRPr="00E26060" w:rsidRDefault="008B280D" w:rsidP="004A16DA">
            <w:pPr>
              <w:pStyle w:val="ListParagraph"/>
              <w:numPr>
                <w:ilvl w:val="0"/>
                <w:numId w:val="1"/>
              </w:numPr>
              <w:ind w:left="3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Ligjërata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ushtrime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9F87F3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36</w:t>
            </w:r>
          </w:p>
        </w:tc>
      </w:tr>
      <w:tr w:rsidR="008B280D" w:rsidRPr="00E26060" w14:paraId="34E91020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EB35250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9A9E4" w14:textId="77777777" w:rsidR="008B280D" w:rsidRPr="00E26060" w:rsidRDefault="008B280D" w:rsidP="004A16DA">
            <w:pPr>
              <w:pStyle w:val="ListParagraph"/>
              <w:numPr>
                <w:ilvl w:val="0"/>
                <w:numId w:val="1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Metodat</w:t>
            </w:r>
            <w:proofErr w:type="spellEnd"/>
            <w:r>
              <w:rPr>
                <w:lang w:val="en"/>
              </w:rPr>
              <w:t xml:space="preserve"> e tjera të </w:t>
            </w:r>
            <w:proofErr w:type="spellStart"/>
            <w:r>
              <w:rPr>
                <w:lang w:val="en"/>
              </w:rPr>
              <w:t>mësimdhënies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A78013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36</w:t>
            </w:r>
          </w:p>
        </w:tc>
      </w:tr>
      <w:tr w:rsidR="008B280D" w:rsidRPr="00E26060" w14:paraId="55D94F5C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C1C7071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29C12" w14:textId="77777777" w:rsidR="008B280D" w:rsidRPr="00E26060" w:rsidRDefault="008B280D" w:rsidP="004A16DA">
            <w:pPr>
              <w:pStyle w:val="ListParagraph"/>
              <w:numPr>
                <w:ilvl w:val="0"/>
                <w:numId w:val="1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Studime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vetjake</w:t>
            </w:r>
            <w:proofErr w:type="spellEnd"/>
            <w:r>
              <w:rPr>
                <w:lang w:val="en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FA27E5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24</w:t>
            </w:r>
          </w:p>
        </w:tc>
      </w:tr>
      <w:tr w:rsidR="008B280D" w:rsidRPr="00E26060" w14:paraId="5F75E363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CC66E17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A30E3" w14:textId="77777777" w:rsidR="008B280D" w:rsidRPr="00E26060" w:rsidRDefault="008B280D" w:rsidP="004A16DA">
            <w:pPr>
              <w:pStyle w:val="ListParagraph"/>
              <w:numPr>
                <w:ilvl w:val="0"/>
                <w:numId w:val="1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4F">
              <w:rPr>
                <w:lang w:val="it-IT"/>
              </w:rPr>
              <w:t>Gjithsej ligjërata, ushtrime e studime vetjake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1B247B5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96</w:t>
            </w:r>
          </w:p>
        </w:tc>
      </w:tr>
      <w:tr w:rsidR="008B280D" w:rsidRPr="00E26060" w14:paraId="3B655BEE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8A137E3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9E105" w14:textId="77777777" w:rsidR="008B280D" w:rsidRPr="0093248A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66A69B1" w14:textId="77777777" w:rsidR="008B280D" w:rsidRPr="00E26060" w:rsidRDefault="008B280D" w:rsidP="004A16DA">
            <w:pPr>
              <w:tabs>
                <w:tab w:val="left" w:pos="729"/>
                <w:tab w:val="center" w:pos="7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4FB8C824" w14:textId="77777777" w:rsidTr="004A16DA">
        <w:trPr>
          <w:trHeight w:hRule="exact" w:val="288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A848EE1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A2A47" w14:textId="77777777" w:rsidR="008B280D" w:rsidRPr="0093248A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5E4A5C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3F2B0B21" w14:textId="77777777" w:rsidTr="004A16DA">
        <w:trPr>
          <w:trHeight w:val="566"/>
        </w:trPr>
        <w:tc>
          <w:tcPr>
            <w:tcW w:w="2482" w:type="dxa"/>
            <w:vMerge/>
            <w:tcBorders>
              <w:left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EE2E8C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right w:val="nil"/>
            </w:tcBorders>
          </w:tcPr>
          <w:p w14:paraId="620973CF" w14:textId="77777777" w:rsidR="008B280D" w:rsidRPr="00E26060" w:rsidRDefault="008B280D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right w:val="single" w:sz="4" w:space="0" w:color="7F7F7F" w:themeColor="text1" w:themeTint="80"/>
            </w:tcBorders>
          </w:tcPr>
          <w:p w14:paraId="1FACB1B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16E4424F" w14:textId="77777777" w:rsidTr="004A16DA">
        <w:trPr>
          <w:trHeight w:hRule="exact" w:val="288"/>
        </w:trPr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156D3A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Metodat e vlerësimit</w:t>
            </w:r>
          </w:p>
        </w:tc>
        <w:tc>
          <w:tcPr>
            <w:tcW w:w="30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03296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Aktiviteti i vlerësimit</w:t>
            </w:r>
          </w:p>
        </w:tc>
        <w:tc>
          <w:tcPr>
            <w:tcW w:w="124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59206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3DC9AA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161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66E7751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8B280D" w:rsidRPr="00E26060" w14:paraId="2E045B96" w14:textId="77777777" w:rsidTr="004A16DA">
        <w:trPr>
          <w:trHeight w:hRule="exact" w:val="80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DD0890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54265B9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E95701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5FA55A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B5016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0B491493" w14:textId="77777777" w:rsidTr="004A16DA">
        <w:trPr>
          <w:trHeight w:hRule="exact" w:val="742"/>
        </w:trPr>
        <w:tc>
          <w:tcPr>
            <w:tcW w:w="2482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783A4AA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6F4FD01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Aktiviteti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Pjesëmarrja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3EF35A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AEA617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1,2, 3, 5,6,8,9,10,11,12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CAB1B74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10%</w:t>
            </w:r>
          </w:p>
        </w:tc>
      </w:tr>
      <w:tr w:rsidR="008B280D" w:rsidRPr="00E26060" w14:paraId="61A81EAD" w14:textId="77777777" w:rsidTr="004A16DA">
        <w:trPr>
          <w:trHeight w:hRule="exact" w:val="1432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DA7004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5AC36CF4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637A476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FACF1D8" w14:textId="77777777" w:rsidR="008B280D" w:rsidRPr="00E26060" w:rsidRDefault="008B280D" w:rsidP="004A16DA">
            <w:pPr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8C6E766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26A7965C" w14:textId="77777777" w:rsidTr="004A16DA">
        <w:trPr>
          <w:trHeight w:hRule="exact" w:val="985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9ADBEE6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69812E2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Ushtrimet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BD5967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BFB3C4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1,2, 3, 5,6,8,9,10,11,12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045890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20%</w:t>
            </w:r>
          </w:p>
        </w:tc>
      </w:tr>
      <w:tr w:rsidR="008B280D" w:rsidRPr="00E26060" w14:paraId="4A4457AB" w14:textId="77777777" w:rsidTr="004A16DA">
        <w:trPr>
          <w:trHeight w:hRule="exact" w:val="306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6400AB6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61E79FF0" w14:textId="77777777" w:rsidR="008B280D" w:rsidRDefault="008B280D" w:rsidP="008B28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lang w:val="en"/>
              </w:rPr>
            </w:pPr>
            <w:proofErr w:type="spellStart"/>
            <w:r>
              <w:rPr>
                <w:lang w:val="en"/>
              </w:rPr>
              <w:t>Provim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përfundimtar</w:t>
            </w:r>
            <w:proofErr w:type="spellEnd"/>
          </w:p>
          <w:p w14:paraId="0DEFA065" w14:textId="77777777" w:rsidR="008B280D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 xml:space="preserve">Testi </w:t>
            </w:r>
            <w:proofErr w:type="spellStart"/>
            <w:r>
              <w:rPr>
                <w:lang w:val="en"/>
              </w:rPr>
              <w:t>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ndërmjetëm</w:t>
            </w:r>
            <w:proofErr w:type="spellEnd"/>
          </w:p>
          <w:p w14:paraId="3CE8ECE0" w14:textId="77777777" w:rsidR="008B280D" w:rsidRDefault="008B280D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43154" w14:textId="77777777" w:rsidR="008B280D" w:rsidRDefault="008B280D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4932" w14:textId="77777777" w:rsidR="008B280D" w:rsidRDefault="008B280D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5C94C" w14:textId="77777777" w:rsidR="008B280D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0-49 </w:t>
            </w:r>
            <w:proofErr w:type="spellStart"/>
            <w:r>
              <w:rPr>
                <w:lang w:val="en"/>
              </w:rPr>
              <w:t>pikë</w:t>
            </w:r>
            <w:proofErr w:type="spellEnd"/>
            <w:r>
              <w:rPr>
                <w:lang w:val="en"/>
              </w:rPr>
              <w:tab/>
              <w:t>5</w:t>
            </w:r>
          </w:p>
          <w:p w14:paraId="4288430C" w14:textId="77777777" w:rsidR="008B280D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- 50-59</w:t>
            </w:r>
            <w:r>
              <w:rPr>
                <w:lang w:val="en"/>
              </w:rPr>
              <w:tab/>
            </w:r>
            <w:proofErr w:type="spellStart"/>
            <w:r>
              <w:rPr>
                <w:lang w:val="en"/>
              </w:rPr>
              <w:t>pikë</w:t>
            </w:r>
            <w:proofErr w:type="spellEnd"/>
            <w:r>
              <w:rPr>
                <w:lang w:val="en"/>
              </w:rPr>
              <w:tab/>
              <w:t>6</w:t>
            </w:r>
          </w:p>
          <w:p w14:paraId="0081066B" w14:textId="77777777" w:rsidR="008B280D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- 60-69</w:t>
            </w:r>
            <w:r>
              <w:rPr>
                <w:lang w:val="en"/>
              </w:rPr>
              <w:tab/>
            </w:r>
            <w:proofErr w:type="spellStart"/>
            <w:r>
              <w:rPr>
                <w:lang w:val="en"/>
              </w:rPr>
              <w:t>pikë</w:t>
            </w:r>
            <w:proofErr w:type="spellEnd"/>
            <w:r>
              <w:rPr>
                <w:lang w:val="en"/>
              </w:rPr>
              <w:tab/>
              <w:t>7</w:t>
            </w:r>
          </w:p>
          <w:p w14:paraId="70DFEF4A" w14:textId="77777777" w:rsidR="008B280D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- 70-79</w:t>
            </w:r>
            <w:r>
              <w:rPr>
                <w:lang w:val="en"/>
              </w:rPr>
              <w:tab/>
            </w:r>
            <w:proofErr w:type="spellStart"/>
            <w:r>
              <w:rPr>
                <w:lang w:val="en"/>
              </w:rPr>
              <w:t>pikë</w:t>
            </w:r>
            <w:proofErr w:type="spellEnd"/>
            <w:r>
              <w:rPr>
                <w:lang w:val="en"/>
              </w:rPr>
              <w:tab/>
              <w:t>8</w:t>
            </w:r>
          </w:p>
          <w:p w14:paraId="59EBE178" w14:textId="77777777" w:rsidR="008B280D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- 80-89</w:t>
            </w:r>
            <w:r>
              <w:rPr>
                <w:lang w:val="en"/>
              </w:rPr>
              <w:tab/>
            </w:r>
            <w:proofErr w:type="spellStart"/>
            <w:r>
              <w:rPr>
                <w:lang w:val="en"/>
              </w:rPr>
              <w:t>pikë</w:t>
            </w:r>
            <w:proofErr w:type="spellEnd"/>
            <w:r>
              <w:rPr>
                <w:lang w:val="en"/>
              </w:rPr>
              <w:tab/>
              <w:t>9</w:t>
            </w:r>
          </w:p>
          <w:p w14:paraId="49359A13" w14:textId="77777777" w:rsidR="008B280D" w:rsidRPr="0093248A" w:rsidRDefault="008B280D" w:rsidP="004A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 xml:space="preserve">- 90-100 </w:t>
            </w:r>
            <w:proofErr w:type="spellStart"/>
            <w:r>
              <w:rPr>
                <w:lang w:val="en"/>
              </w:rPr>
              <w:t>pikë</w:t>
            </w:r>
            <w:proofErr w:type="spellEnd"/>
            <w:r>
              <w:rPr>
                <w:lang w:val="en"/>
              </w:rPr>
              <w:tab/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864B0CE" w14:textId="77777777" w:rsidR="008B280D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1</w:t>
            </w:r>
          </w:p>
          <w:p w14:paraId="39DFA9E0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484C473" w14:textId="77777777" w:rsidR="008B280D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13</w:t>
            </w:r>
          </w:p>
          <w:p w14:paraId="047153F6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AEB23A" w14:textId="77777777" w:rsidR="008B280D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50%</w:t>
            </w:r>
          </w:p>
          <w:p w14:paraId="6AF814D6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20%</w:t>
            </w:r>
          </w:p>
        </w:tc>
      </w:tr>
      <w:tr w:rsidR="008B280D" w:rsidRPr="00E26060" w14:paraId="10B7D63F" w14:textId="77777777" w:rsidTr="004A16DA">
        <w:trPr>
          <w:trHeight w:hRule="exact" w:val="234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3AE413C3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5AD6F51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38601C7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6FED12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8AAEFA1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0343D931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7A2F1C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Burimet dhe mjetet e konkretizimit</w:t>
            </w:r>
          </w:p>
        </w:tc>
        <w:tc>
          <w:tcPr>
            <w:tcW w:w="5969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12300D1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161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6E3265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</w:p>
        </w:tc>
      </w:tr>
      <w:tr w:rsidR="008B280D" w:rsidRPr="00E26060" w14:paraId="724FB0E5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CEFD5C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96792" w14:textId="77777777" w:rsidR="008B280D" w:rsidRPr="00E26060" w:rsidRDefault="008B280D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373DEE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24F2DAED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6422E6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C523B" w14:textId="77777777" w:rsidR="008B280D" w:rsidRPr="00E26060" w:rsidRDefault="008B280D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EB8FA7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80D" w:rsidRPr="00E26060" w14:paraId="6F1F935C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3C5871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C8B1F" w14:textId="77777777" w:rsidR="008B280D" w:rsidRPr="00E26060" w:rsidRDefault="008B280D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Tabela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6D1F136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80D" w:rsidRPr="00E26060" w14:paraId="34356177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9651C3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95F0D" w14:textId="77777777" w:rsidR="008B280D" w:rsidRPr="00E26060" w:rsidRDefault="008B280D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7C0381C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80D" w:rsidRPr="00E26060" w14:paraId="23AE6F79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EE8DD2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939F2" w14:textId="77777777" w:rsidR="008B280D" w:rsidRPr="00E26060" w:rsidRDefault="008B280D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Ditari elektronik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B0E0D7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80D" w:rsidRPr="00E26060" w14:paraId="7E1BF016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5F746DA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6077E" w14:textId="77777777" w:rsidR="008B280D" w:rsidRPr="00E26060" w:rsidRDefault="008B280D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Projektori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73A2EA3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80D" w:rsidRPr="00E26060" w14:paraId="4453682F" w14:textId="77777777" w:rsidTr="004A16DA">
        <w:trPr>
          <w:trHeight w:hRule="exact" w:val="288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0D68A22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E03DC" w14:textId="77777777" w:rsidR="008B280D" w:rsidRPr="00E26060" w:rsidRDefault="008B280D" w:rsidP="004A16DA">
            <w:pPr>
              <w:pStyle w:val="ListParagraph"/>
              <w:numPr>
                <w:ilvl w:val="0"/>
                <w:numId w:val="2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sz w:val="24"/>
                <w:szCs w:val="24"/>
              </w:rPr>
              <w:t>Audio CD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66C9A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0B542F5D" w14:textId="77777777" w:rsidTr="004A16DA">
        <w:trPr>
          <w:trHeight w:hRule="exact" w:val="288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ED09C5A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B1B43" w14:textId="77777777" w:rsidR="008B280D" w:rsidRPr="00E26060" w:rsidRDefault="008B280D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21A8C4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7C549257" w14:textId="77777777" w:rsidTr="004A16DA">
        <w:trPr>
          <w:trHeight w:hRule="exact" w:val="288"/>
        </w:trPr>
        <w:tc>
          <w:tcPr>
            <w:tcW w:w="24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7A9B331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Ngarkesa dhe aktivitetet (ECTS </w:t>
            </w:r>
            <w:proofErr w:type="spellStart"/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workload</w:t>
            </w:r>
            <w:proofErr w:type="spellEnd"/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08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4C1F51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166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5A28F6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Orë javore</w:t>
            </w:r>
          </w:p>
        </w:tc>
        <w:tc>
          <w:tcPr>
            <w:tcW w:w="161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8E24A9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Ngarkesa total</w:t>
            </w:r>
          </w:p>
        </w:tc>
      </w:tr>
      <w:tr w:rsidR="008B280D" w:rsidRPr="00E26060" w14:paraId="23203F36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37F0DB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EE87F" w14:textId="77777777" w:rsidR="008B280D" w:rsidRPr="00E26060" w:rsidRDefault="008B280D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46A2C00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26CA01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0B43E1B6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725D2F6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AE0C2" w14:textId="77777777" w:rsidR="008B280D" w:rsidRPr="00E26060" w:rsidRDefault="008B280D" w:rsidP="008B280D">
            <w:pPr>
              <w:pStyle w:val="ListParagraph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Gjithsej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ligjërata</w:t>
            </w:r>
            <w:proofErr w:type="spellEnd"/>
            <w:r>
              <w:rPr>
                <w:lang w:val="en"/>
              </w:rPr>
              <w:t xml:space="preserve"> dhe </w:t>
            </w:r>
            <w:proofErr w:type="spellStart"/>
            <w:r>
              <w:rPr>
                <w:lang w:val="en"/>
              </w:rPr>
              <w:t>ushtrime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F2D77E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5E85E7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45</w:t>
            </w:r>
          </w:p>
        </w:tc>
      </w:tr>
      <w:tr w:rsidR="008B280D" w:rsidRPr="00E26060" w14:paraId="756C5073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636C115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A24C9" w14:textId="77777777" w:rsidR="008B280D" w:rsidRPr="00E26060" w:rsidRDefault="008B280D" w:rsidP="008B280D">
            <w:pPr>
              <w:pStyle w:val="ListParagraph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Metodat</w:t>
            </w:r>
            <w:proofErr w:type="spellEnd"/>
            <w:r>
              <w:rPr>
                <w:lang w:val="en"/>
              </w:rPr>
              <w:t xml:space="preserve"> e tjera të </w:t>
            </w:r>
            <w:proofErr w:type="spellStart"/>
            <w:r>
              <w:rPr>
                <w:lang w:val="en"/>
              </w:rPr>
              <w:t>mësimdhënies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D820AE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0E968F4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15</w:t>
            </w:r>
          </w:p>
        </w:tc>
      </w:tr>
      <w:tr w:rsidR="008B280D" w:rsidRPr="00E26060" w14:paraId="38942FDC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75736A0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772D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Studimet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vetjake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F5E60DA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B6597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15</w:t>
            </w:r>
          </w:p>
        </w:tc>
      </w:tr>
      <w:tr w:rsidR="008B280D" w:rsidRPr="00E26060" w14:paraId="10EB9E57" w14:textId="77777777" w:rsidTr="004A16DA">
        <w:trPr>
          <w:trHeight w:hRule="exact" w:val="288"/>
        </w:trPr>
        <w:tc>
          <w:tcPr>
            <w:tcW w:w="2482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7FCD2C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EFD8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lang w:val="en"/>
              </w:rPr>
              <w:t>Gjithsej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ligjërata</w:t>
            </w:r>
            <w:proofErr w:type="spellEnd"/>
            <w:r>
              <w:rPr>
                <w:lang w:val="en"/>
              </w:rPr>
              <w:t xml:space="preserve"> dhe </w:t>
            </w:r>
            <w:proofErr w:type="spellStart"/>
            <w:r>
              <w:rPr>
                <w:lang w:val="en"/>
              </w:rPr>
              <w:t>studime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vetjake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0AC1DB39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A03DABF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"/>
              </w:rPr>
              <w:t>75</w:t>
            </w:r>
          </w:p>
        </w:tc>
      </w:tr>
      <w:tr w:rsidR="008B280D" w:rsidRPr="00E26060" w14:paraId="0FFF1DCC" w14:textId="77777777" w:rsidTr="004A16DA">
        <w:trPr>
          <w:trHeight w:hRule="exact" w:val="288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A2637FD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EAA37" w14:textId="77777777" w:rsidR="008B280D" w:rsidRPr="00E26060" w:rsidRDefault="008B280D" w:rsidP="004A16DA">
            <w:pPr>
              <w:pStyle w:val="ListParagraph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A1500DB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2CEBB95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1A825C6D" w14:textId="77777777" w:rsidTr="004A16DA">
        <w:trPr>
          <w:trHeight w:val="793"/>
        </w:trPr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926C658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Literatura/Referencat</w:t>
            </w:r>
          </w:p>
        </w:tc>
        <w:tc>
          <w:tcPr>
            <w:tcW w:w="758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6F93F063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9FEAD" w14:textId="77777777" w:rsidR="008B280D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         Bill Kovach, Tom Rosenstiel: </w:t>
            </w:r>
            <w:proofErr w:type="spellStart"/>
            <w:r>
              <w:rPr>
                <w:lang w:val="en"/>
              </w:rPr>
              <w:t>Elementët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gazetarisë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Tiranë</w:t>
            </w:r>
            <w:proofErr w:type="spellEnd"/>
            <w:r>
              <w:rPr>
                <w:lang w:val="en"/>
              </w:rPr>
              <w:t xml:space="preserve"> 2009</w:t>
            </w:r>
          </w:p>
          <w:p w14:paraId="782BFE4C" w14:textId="77777777" w:rsidR="008B280D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•</w:t>
            </w:r>
            <w:r>
              <w:rPr>
                <w:lang w:val="en"/>
              </w:rPr>
              <w:tab/>
              <w:t xml:space="preserve">Philip Meyer: </w:t>
            </w:r>
            <w:proofErr w:type="spellStart"/>
            <w:r>
              <w:rPr>
                <w:lang w:val="en"/>
              </w:rPr>
              <w:t>Gazetaria</w:t>
            </w:r>
            <w:proofErr w:type="spellEnd"/>
            <w:r>
              <w:rPr>
                <w:lang w:val="en"/>
              </w:rPr>
              <w:t xml:space="preserve"> e </w:t>
            </w:r>
            <w:proofErr w:type="spellStart"/>
            <w:r>
              <w:rPr>
                <w:lang w:val="en"/>
              </w:rPr>
              <w:t>saktë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Tiranë</w:t>
            </w:r>
            <w:proofErr w:type="spellEnd"/>
            <w:r>
              <w:rPr>
                <w:lang w:val="en"/>
              </w:rPr>
              <w:t xml:space="preserve"> 2006 </w:t>
            </w:r>
          </w:p>
          <w:p w14:paraId="4AC7A671" w14:textId="77777777" w:rsidR="008B280D" w:rsidRPr="00B11D46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B11D46">
              <w:rPr>
                <w:lang w:val="it-IT"/>
              </w:rPr>
              <w:t>•</w:t>
            </w:r>
            <w:r w:rsidRPr="00B11D46">
              <w:rPr>
                <w:lang w:val="it-IT"/>
              </w:rPr>
              <w:tab/>
              <w:t>Missouri Group: Raportimi dhe shkrimi i lajmeve, Tiranë 2011</w:t>
            </w:r>
          </w:p>
          <w:p w14:paraId="68490834" w14:textId="77777777" w:rsidR="008B280D" w:rsidRPr="00B11D46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B11D46">
              <w:rPr>
                <w:lang w:val="it-IT"/>
              </w:rPr>
              <w:t>•</w:t>
            </w:r>
            <w:r w:rsidRPr="00B11D46">
              <w:rPr>
                <w:lang w:val="it-IT"/>
              </w:rPr>
              <w:tab/>
              <w:t>Umberto Eco: Si shkruaj, Prishtinë 2003</w:t>
            </w:r>
          </w:p>
          <w:p w14:paraId="54CC93D9" w14:textId="77777777" w:rsidR="008B280D" w:rsidRPr="00B11D46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B11D46">
              <w:rPr>
                <w:lang w:val="it-IT"/>
              </w:rPr>
              <w:t>•</w:t>
            </w:r>
            <w:r w:rsidRPr="00B11D46">
              <w:rPr>
                <w:lang w:val="it-IT"/>
              </w:rPr>
              <w:tab/>
              <w:t>Umberto Eco: Të thuash qartë të njëjtën gjë, Tiranë</w:t>
            </w:r>
          </w:p>
          <w:p w14:paraId="4750C752" w14:textId="77777777" w:rsidR="008B280D" w:rsidRPr="00B11D46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B11D46">
              <w:rPr>
                <w:lang w:val="it-IT"/>
              </w:rPr>
              <w:t>•</w:t>
            </w:r>
            <w:r w:rsidRPr="00B11D46">
              <w:rPr>
                <w:lang w:val="it-IT"/>
              </w:rPr>
              <w:tab/>
              <w:t>David Randall: Gazetari universal, Tiranë 2003</w:t>
            </w:r>
          </w:p>
          <w:p w14:paraId="00FB6651" w14:textId="77777777" w:rsidR="008B280D" w:rsidRDefault="008B280D" w:rsidP="004A16DA">
            <w:p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•</w:t>
            </w:r>
            <w:r>
              <w:rPr>
                <w:lang w:val="en"/>
              </w:rPr>
              <w:tab/>
              <w:t xml:space="preserve">Rami </w:t>
            </w:r>
            <w:proofErr w:type="spellStart"/>
            <w:r>
              <w:rPr>
                <w:lang w:val="en"/>
              </w:rPr>
              <w:t>Memushaj</w:t>
            </w:r>
            <w:proofErr w:type="spellEnd"/>
            <w:r>
              <w:rPr>
                <w:lang w:val="en"/>
              </w:rPr>
              <w:t xml:space="preserve">: </w:t>
            </w:r>
            <w:proofErr w:type="spellStart"/>
            <w:r>
              <w:rPr>
                <w:lang w:val="en"/>
              </w:rPr>
              <w:t>Shqipja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standarde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Tiranë</w:t>
            </w:r>
            <w:proofErr w:type="spellEnd"/>
            <w:r>
              <w:rPr>
                <w:lang w:val="en"/>
              </w:rPr>
              <w:t xml:space="preserve"> 2004</w:t>
            </w:r>
          </w:p>
          <w:p w14:paraId="4790D684" w14:textId="77777777" w:rsidR="008B280D" w:rsidRPr="00E26060" w:rsidRDefault="008B280D" w:rsidP="004A16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80D" w:rsidRPr="00E26060" w14:paraId="6E8543D8" w14:textId="77777777" w:rsidTr="004A16DA"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62071B4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060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758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6D164" w14:textId="77777777" w:rsidR="008B280D" w:rsidRPr="0093248A" w:rsidRDefault="008B280D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248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musa.sabedini@ubt-uni.net </w:t>
              </w:r>
            </w:hyperlink>
          </w:p>
          <w:p w14:paraId="018BE2B7" w14:textId="77777777" w:rsidR="008B280D" w:rsidRPr="00E26060" w:rsidRDefault="008B280D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21FAD8" w14:textId="77777777" w:rsidR="00CD52B1" w:rsidRDefault="00CD52B1"/>
    <w:sectPr w:rsidR="00CD52B1" w:rsidSect="00A83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F81002"/>
    <w:lvl w:ilvl="0">
      <w:numFmt w:val="bullet"/>
      <w:lvlText w:val="*"/>
      <w:lvlJc w:val="left"/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17233">
    <w:abstractNumId w:val="3"/>
  </w:num>
  <w:num w:numId="2" w16cid:durableId="139078566">
    <w:abstractNumId w:val="1"/>
  </w:num>
  <w:num w:numId="3" w16cid:durableId="1650012565">
    <w:abstractNumId w:val="2"/>
  </w:num>
  <w:num w:numId="4" w16cid:durableId="209782539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65"/>
    <w:rsid w:val="00675C72"/>
    <w:rsid w:val="008B280D"/>
    <w:rsid w:val="00A8371D"/>
    <w:rsid w:val="00B26203"/>
    <w:rsid w:val="00CD52B1"/>
    <w:rsid w:val="00D6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77EE"/>
  <w15:chartTrackingRefBased/>
  <w15:docId w15:val="{3973C477-2249-4ACC-AD9B-D0025698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0D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8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8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80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8B280D"/>
    <w:pPr>
      <w:spacing w:after="0" w:line="240" w:lineRule="auto"/>
    </w:pPr>
    <w:rPr>
      <w:kern w:val="0"/>
      <w:lang w:val="sq-AL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8B280D"/>
    <w:rPr>
      <w:kern w:val="0"/>
      <w:lang w:val="sq-AL"/>
      <w14:ligatures w14:val="none"/>
    </w:rPr>
  </w:style>
  <w:style w:type="paragraph" w:customStyle="1" w:styleId="Default">
    <w:name w:val="Default"/>
    <w:rsid w:val="008B280D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Eglantina.Bilall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2024-02-08T12:01:00Z</dcterms:created>
  <dcterms:modified xsi:type="dcterms:W3CDTF">2024-02-08T12:02:00Z</dcterms:modified>
</cp:coreProperties>
</file>