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B8" w:rsidRPr="00017E6E" w:rsidRDefault="000C6AB8" w:rsidP="000C6AB8">
      <w:pPr>
        <w:jc w:val="center"/>
        <w:rPr>
          <w:rFonts w:ascii="Times New Roman" w:hAnsi="Times New Roman" w:cs="Times New Roman"/>
        </w:rPr>
      </w:pPr>
      <w:r w:rsidRPr="00017E6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27CB780" wp14:editId="4598924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017E6E" w:rsidRDefault="000C6AB8" w:rsidP="000C6AB8">
      <w:pPr>
        <w:jc w:val="center"/>
        <w:rPr>
          <w:rFonts w:ascii="Times New Roman" w:hAnsi="Times New Roman" w:cs="Times New Roman"/>
          <w:sz w:val="16"/>
          <w:szCs w:val="16"/>
        </w:rPr>
      </w:pPr>
      <w:r w:rsidRPr="00017E6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C6AB8" w:rsidRPr="00017E6E" w:rsidRDefault="000C6AB8" w:rsidP="000C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E6E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017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098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="007B409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7B4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098">
        <w:rPr>
          <w:rFonts w:ascii="Times New Roman" w:hAnsi="Times New Roman" w:cs="Times New Roman"/>
          <w:b/>
          <w:sz w:val="24"/>
          <w:szCs w:val="24"/>
        </w:rPr>
        <w:t>Communication</w:t>
      </w:r>
      <w:proofErr w:type="spellEnd"/>
    </w:p>
    <w:p w:rsidR="000C6AB8" w:rsidRPr="00017E6E" w:rsidRDefault="000C6AB8" w:rsidP="000C6A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E6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017E6E">
        <w:rPr>
          <w:rFonts w:ascii="Times New Roman" w:hAnsi="Times New Roman" w:cs="Times New Roman"/>
          <w:b/>
          <w:sz w:val="20"/>
          <w:szCs w:val="20"/>
        </w:rPr>
        <w:t>S</w:t>
      </w:r>
      <w:r w:rsidR="00582735" w:rsidRPr="00017E6E">
        <w:rPr>
          <w:rFonts w:ascii="Times New Roman" w:hAnsi="Times New Roman" w:cs="Times New Roman"/>
          <w:b/>
          <w:sz w:val="20"/>
          <w:szCs w:val="20"/>
        </w:rPr>
        <w:t>y</w:t>
      </w:r>
      <w:r w:rsidRPr="00017E6E">
        <w:rPr>
          <w:rFonts w:ascii="Times New Roman" w:hAnsi="Times New Roman" w:cs="Times New Roman"/>
          <w:b/>
          <w:sz w:val="20"/>
          <w:szCs w:val="20"/>
        </w:rPr>
        <w:t>llabus</w:t>
      </w:r>
      <w:proofErr w:type="spellEnd"/>
    </w:p>
    <w:p w:rsidR="000819A7" w:rsidRPr="00017E6E" w:rsidRDefault="000819A7" w:rsidP="000C6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6"/>
        <w:gridCol w:w="3341"/>
        <w:gridCol w:w="1278"/>
        <w:gridCol w:w="1831"/>
        <w:gridCol w:w="1704"/>
      </w:tblGrid>
      <w:tr w:rsidR="00605CEC" w:rsidRPr="00017E6E" w:rsidTr="00930975"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05CEC" w:rsidRPr="00017E6E" w:rsidRDefault="00B83229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Subject</w:t>
            </w:r>
            <w:proofErr w:type="spellEnd"/>
          </w:p>
          <w:p w:rsidR="00605CEC" w:rsidRPr="00017E6E" w:rsidRDefault="00605CEC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017E6E" w:rsidRDefault="00605CEC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05CEC" w:rsidRPr="00017E6E" w:rsidRDefault="005F28D2" w:rsidP="00605CE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Editing</w:t>
            </w:r>
            <w:proofErr w:type="spellEnd"/>
          </w:p>
          <w:p w:rsidR="00605CEC" w:rsidRPr="00017E6E" w:rsidRDefault="00605CEC" w:rsidP="00605CE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0AEF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017E6E" w:rsidRDefault="00210AEF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017E6E" w:rsidRDefault="00210AEF" w:rsidP="00210A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sz w:val="17"/>
                <w:szCs w:val="17"/>
              </w:rPr>
              <w:t>Lloj</w:t>
            </w:r>
            <w:r w:rsidR="00582735" w:rsidRPr="00017E6E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017E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210AEF" w:rsidRPr="00017E6E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017E6E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sz w:val="17"/>
                <w:szCs w:val="17"/>
              </w:rPr>
              <w:t>Semestri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017E6E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sz w:val="17"/>
                <w:szCs w:val="17"/>
              </w:rPr>
              <w:t>ECTS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0AEF" w:rsidRPr="00017E6E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sz w:val="17"/>
                <w:szCs w:val="17"/>
              </w:rPr>
              <w:t>Kodi</w:t>
            </w:r>
          </w:p>
        </w:tc>
      </w:tr>
      <w:tr w:rsidR="00210AEF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017E6E" w:rsidRDefault="00210AEF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017E6E" w:rsidRDefault="005F28D2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Mandatory</w:t>
            </w:r>
            <w:proofErr w:type="spellEnd"/>
            <w:r w:rsidR="00210AEF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(O)</w:t>
            </w:r>
          </w:p>
          <w:p w:rsidR="00210AEF" w:rsidRPr="00017E6E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017E6E" w:rsidRDefault="008D6E76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017E6E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0AEF" w:rsidRPr="00770E7A" w:rsidRDefault="00770E7A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70E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90RM378</w:t>
            </w:r>
          </w:p>
        </w:tc>
      </w:tr>
      <w:tr w:rsidR="00605CEC" w:rsidRPr="00017E6E" w:rsidTr="00930975">
        <w:trPr>
          <w:trHeight w:hRule="exact" w:val="288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017E6E" w:rsidRDefault="00B83229" w:rsidP="00017E6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Lecturer</w:t>
            </w:r>
            <w:proofErr w:type="spellEnd"/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017E6E" w:rsidRDefault="00E46CBF" w:rsidP="009428D7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Ferid Selimi</w:t>
            </w:r>
          </w:p>
        </w:tc>
      </w:tr>
      <w:tr w:rsidR="00605CEC" w:rsidRPr="00017E6E" w:rsidTr="00930975">
        <w:trPr>
          <w:trHeight w:hRule="exact" w:val="288"/>
        </w:trPr>
        <w:tc>
          <w:tcPr>
            <w:tcW w:w="191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017E6E" w:rsidRDefault="00B83229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Assitant</w:t>
            </w:r>
            <w:proofErr w:type="spellEnd"/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017E6E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17E6E" w:rsidTr="00930975">
        <w:trPr>
          <w:trHeight w:hRule="exact" w:val="288"/>
        </w:trPr>
        <w:tc>
          <w:tcPr>
            <w:tcW w:w="191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017E6E" w:rsidRDefault="00B83229" w:rsidP="00B8322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Tutor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5CEC" w:rsidRPr="00017E6E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17E6E" w:rsidTr="00930975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017E6E" w:rsidRDefault="00B83229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Goals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Objectives</w:t>
            </w:r>
            <w:proofErr w:type="spellEnd"/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F28D2" w:rsidRDefault="005F28D2" w:rsidP="0082613A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Studyin</w:t>
            </w:r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media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very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important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student,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especially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them,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whichm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aimed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ingaging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media.</w:t>
            </w:r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introduced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to the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opinions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researchers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about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importance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texts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are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published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broadcast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print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>electronic</w:t>
            </w:r>
            <w:proofErr w:type="spellEnd"/>
            <w:r w:rsidR="005F5B68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media.</w:t>
            </w:r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well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as,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opportunity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learn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key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features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241650" w:rsidRPr="006103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Which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means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removing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excess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which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can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aggravate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even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damage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. All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these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taught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theoretically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practically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through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interactive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lectures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exercises</w:t>
            </w:r>
            <w:proofErr w:type="spellEnd"/>
            <w:r w:rsidR="00B1666B" w:rsidRPr="006103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Once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familiar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effort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made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themselves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to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supervise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edit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texts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="0057336A" w:rsidRPr="006103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Finally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the student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attending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ascertain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importance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complete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proofErr w:type="spellEnd"/>
            <w:r w:rsidR="006103CC" w:rsidRPr="006103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8D7" w:rsidRPr="00017E6E" w:rsidRDefault="009428D7" w:rsidP="00A11E91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17E6E" w:rsidTr="00930975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017E6E" w:rsidRDefault="00B83229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results</w:t>
            </w:r>
            <w:proofErr w:type="spellEnd"/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5CEC" w:rsidRPr="00017E6E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:rsidR="00BF0C3D" w:rsidRPr="00BF0C3D" w:rsidRDefault="004E1536" w:rsidP="00BF0C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After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completion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ready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familiarize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themselves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key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features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80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Which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means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willing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remove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excessive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which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damages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BF0C3D" w:rsidRPr="0080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addition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to the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theoretical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side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257260" w:rsidRPr="0080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In the end, the student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understand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importance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perform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804440" w:rsidRPr="008044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8D7" w:rsidRPr="00017E6E" w:rsidRDefault="009428D7" w:rsidP="00804440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17E6E" w:rsidTr="00930975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017E6E" w:rsidRDefault="00B83229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Content</w:t>
            </w:r>
            <w:proofErr w:type="spellEnd"/>
          </w:p>
        </w:tc>
        <w:tc>
          <w:tcPr>
            <w:tcW w:w="645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5CEC" w:rsidRPr="00017E6E" w:rsidRDefault="004505EA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Weekly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plane</w:t>
            </w:r>
          </w:p>
        </w:tc>
        <w:tc>
          <w:tcPr>
            <w:tcW w:w="1704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05CEC" w:rsidRPr="00017E6E" w:rsidRDefault="004B3ADC" w:rsidP="000C6AB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Week</w:t>
            </w:r>
            <w:proofErr w:type="spellEnd"/>
          </w:p>
        </w:tc>
      </w:tr>
      <w:tr w:rsidR="00930975" w:rsidRPr="00017E6E" w:rsidTr="00930975">
        <w:trPr>
          <w:trHeight w:hRule="exact" w:val="342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to Media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begins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text-writer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D00682" w:rsidP="00D006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30975"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30975" w:rsidRPr="00930975">
              <w:rPr>
                <w:rFonts w:ascii="Times New Roman" w:hAnsi="Times New Roman" w:cs="Times New Roman"/>
                <w:sz w:val="18"/>
                <w:szCs w:val="18"/>
              </w:rPr>
              <w:t>Ethics</w:t>
            </w:r>
            <w:proofErr w:type="spellEnd"/>
            <w:r w:rsidR="00930975"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30975" w:rsidRPr="0093097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930975"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Editor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Thinking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an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editor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Headings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subheadings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</w:t>
            </w:r>
          </w:p>
        </w:tc>
      </w:tr>
      <w:tr w:rsidR="00930975" w:rsidRPr="00017E6E" w:rsidTr="00EC2517">
        <w:trPr>
          <w:trHeight w:hRule="exact" w:val="411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517" w:rsidRDefault="00246A6A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A6A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proofErr w:type="spellEnd"/>
            <w:r w:rsidRPr="00246A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6A6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46A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46A6A">
              <w:rPr>
                <w:rFonts w:ascii="Times New Roman" w:hAnsi="Times New Roman" w:cs="Times New Roman"/>
                <w:sz w:val="18"/>
                <w:szCs w:val="18"/>
              </w:rPr>
              <w:t>eadings</w:t>
            </w:r>
            <w:proofErr w:type="spellEnd"/>
            <w:r w:rsidR="00EC25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975" w:rsidRPr="00930975" w:rsidRDefault="00EC2517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Seminars</w:t>
            </w:r>
            <w:proofErr w:type="spellEnd"/>
            <w:r w:rsidR="00930975"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Default="00930975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6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</w:p>
          <w:p w:rsidR="00EC2517" w:rsidRPr="00017E6E" w:rsidRDefault="00EC2517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8861C0" w:rsidP="008861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Pictures</w:t>
            </w:r>
            <w:proofErr w:type="spellEnd"/>
            <w:r w:rsidR="00930975"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EC2517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8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Clarity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sentences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headings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EC2517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Syntactic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issues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script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EC2517" w:rsidP="0093097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10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Punctuation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Typography</w:t>
            </w:r>
            <w:proofErr w:type="spellEnd"/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930975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Pr="00930975" w:rsidRDefault="00930975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975">
              <w:rPr>
                <w:rFonts w:ascii="Times New Roman" w:hAnsi="Times New Roman" w:cs="Times New Roman"/>
                <w:sz w:val="18"/>
                <w:szCs w:val="18"/>
              </w:rPr>
              <w:t>A final draft ;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Pr="00017E6E" w:rsidRDefault="00930975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930975" w:rsidRPr="00017E6E" w:rsidTr="00EC2517">
        <w:trPr>
          <w:trHeight w:hRule="exact" w:val="542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30975" w:rsidRPr="00017E6E" w:rsidRDefault="00930975" w:rsidP="009309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975" w:rsidRDefault="00EC2517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Seminars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2517" w:rsidRPr="00930975" w:rsidRDefault="00EC2517" w:rsidP="00930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30975" w:rsidRDefault="00930975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4 </w:t>
            </w:r>
          </w:p>
          <w:p w:rsidR="00EC2517" w:rsidRPr="00017E6E" w:rsidRDefault="00EC2517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15</w:t>
            </w: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930975" w:rsidRDefault="009428D7" w:rsidP="009428D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1320D7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428D7" w:rsidRPr="00017E6E" w:rsidRDefault="009428D7" w:rsidP="009428D7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28D7" w:rsidRPr="00017E6E" w:rsidRDefault="009428D7" w:rsidP="001320D7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428D7" w:rsidRPr="00017E6E" w:rsidRDefault="00B83229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Evaluation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methods</w:t>
            </w:r>
            <w:proofErr w:type="spellEnd"/>
          </w:p>
        </w:tc>
        <w:tc>
          <w:tcPr>
            <w:tcW w:w="645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28D7" w:rsidRPr="00017E6E" w:rsidRDefault="004B3ADC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Activity</w:t>
            </w:r>
            <w:proofErr w:type="spellEnd"/>
          </w:p>
        </w:tc>
        <w:tc>
          <w:tcPr>
            <w:tcW w:w="1704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428D7" w:rsidRPr="00017E6E" w:rsidRDefault="004B3ADC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Weight</w:t>
            </w:r>
            <w:proofErr w:type="spellEnd"/>
            <w:r w:rsidR="009428D7" w:rsidRPr="00017E6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(%)</w:t>
            </w: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57A0B" w:rsidP="00017E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attending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lectures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4A47D1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  <w:r w:rsidR="009428D7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0%</w:t>
            </w: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57A0B" w:rsidP="009428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Calssroom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Engagenment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EB4183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  <w:r w:rsidR="00E804A3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0</w:t>
            </w:r>
            <w:r w:rsidR="009428D7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%</w:t>
            </w: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591F0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4A47D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591F02" w:rsidRDefault="009428D7" w:rsidP="00591F0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4A47D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57A0B" w:rsidP="00814F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The final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exam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EB4183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6</w:t>
            </w:r>
            <w:r w:rsidR="0045162E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0</w:t>
            </w:r>
            <w:r w:rsidR="00F564FE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%</w:t>
            </w: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F564FE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-</w:t>
            </w: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F564FE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428D7" w:rsidRPr="00017E6E" w:rsidRDefault="009428D7" w:rsidP="00F564FE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B83229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methods</w:t>
            </w:r>
            <w:proofErr w:type="spellEnd"/>
          </w:p>
        </w:tc>
        <w:tc>
          <w:tcPr>
            <w:tcW w:w="334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28D7" w:rsidRPr="00017E6E" w:rsidRDefault="004B3ADC" w:rsidP="009428D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Evaluation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activity</w:t>
            </w:r>
            <w:proofErr w:type="spellEnd"/>
          </w:p>
        </w:tc>
        <w:tc>
          <w:tcPr>
            <w:tcW w:w="12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28D7" w:rsidRPr="00017E6E" w:rsidRDefault="004B3ADC" w:rsidP="00210AE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Number</w:t>
            </w:r>
            <w:proofErr w:type="spellEnd"/>
          </w:p>
        </w:tc>
        <w:tc>
          <w:tcPr>
            <w:tcW w:w="183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28D7" w:rsidRPr="00017E6E" w:rsidRDefault="004B3ADC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Week</w:t>
            </w:r>
            <w:proofErr w:type="spellEnd"/>
          </w:p>
        </w:tc>
        <w:tc>
          <w:tcPr>
            <w:tcW w:w="1704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428D7" w:rsidRPr="00017E6E" w:rsidRDefault="004B3ADC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Weight</w:t>
            </w:r>
            <w:proofErr w:type="spellEnd"/>
            <w:r w:rsidR="009428D7" w:rsidRPr="00017E6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(%)</w:t>
            </w:r>
          </w:p>
        </w:tc>
      </w:tr>
      <w:tr w:rsidR="009428D7" w:rsidRPr="00017E6E" w:rsidTr="00930975">
        <w:trPr>
          <w:trHeight w:hRule="exact" w:val="252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AE5F81" w:rsidP="009849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excercises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EC251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84932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1,2,</w:t>
            </w:r>
            <w:r w:rsidR="009428D7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3,</w:t>
            </w: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4,</w:t>
            </w:r>
            <w:r w:rsidR="009428D7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</w:t>
            </w:r>
            <w:r w:rsidR="00737572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,6</w:t>
            </w:r>
            <w:r w:rsidR="009428D7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,7,9</w:t>
            </w: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,10,11,12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9428D7" w:rsidRPr="00017E6E" w:rsidTr="00930975">
        <w:trPr>
          <w:trHeight w:hRule="exact" w:val="441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085D56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AE5F81" w:rsidP="009849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Self-studying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2A1699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10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2A1699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7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9</w:t>
            </w:r>
          </w:p>
        </w:tc>
      </w:tr>
      <w:tr w:rsidR="009428D7" w:rsidRPr="00017E6E" w:rsidTr="00930975">
        <w:trPr>
          <w:trHeight w:hRule="exact" w:val="414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AE5F81" w:rsidP="009849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self-studying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excercises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2A1699" w:rsidP="00EC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  <w:r w:rsidR="00EC251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2A1699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100</w:t>
            </w: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03134B" w:rsidRPr="00017E6E" w:rsidTr="00930975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3134B" w:rsidRPr="00017E6E" w:rsidRDefault="00B83229" w:rsidP="004B3AD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concreting</w:t>
            </w:r>
            <w:proofErr w:type="spellEnd"/>
            <w:r w:rsidR="004B3AD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4B3ADC">
              <w:rPr>
                <w:rFonts w:ascii="Times New Roman" w:hAnsi="Times New Roman" w:cs="Times New Roman"/>
                <w:b/>
                <w:sz w:val="17"/>
                <w:szCs w:val="17"/>
              </w:rPr>
              <w:t>equipments</w:t>
            </w:r>
            <w:proofErr w:type="spellEnd"/>
          </w:p>
        </w:tc>
        <w:tc>
          <w:tcPr>
            <w:tcW w:w="645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134B" w:rsidRPr="00017E6E" w:rsidRDefault="004B3ADC" w:rsidP="009428D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Equipments</w:t>
            </w:r>
            <w:proofErr w:type="spellEnd"/>
          </w:p>
        </w:tc>
        <w:tc>
          <w:tcPr>
            <w:tcW w:w="1704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3134B" w:rsidRPr="00017E6E" w:rsidRDefault="004B3ADC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Number</w:t>
            </w:r>
            <w:proofErr w:type="spellEnd"/>
          </w:p>
        </w:tc>
      </w:tr>
      <w:tr w:rsidR="0003134B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4B" w:rsidRPr="00017E6E" w:rsidRDefault="004B53CB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Classroom</w:t>
            </w:r>
            <w:proofErr w:type="spellEnd"/>
            <w:r w:rsidR="0003134B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(</w:t>
            </w:r>
            <w:proofErr w:type="spellStart"/>
            <w:r w:rsidR="0003134B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e.g</w:t>
            </w:r>
            <w:proofErr w:type="spellEnd"/>
            <w:r w:rsidR="0003134B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03134B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4B" w:rsidRPr="00017E6E" w:rsidRDefault="00984932" w:rsidP="004B53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Proje</w:t>
            </w:r>
            <w:r w:rsidR="004B53CB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ctor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03134B" w:rsidRPr="00017E6E" w:rsidTr="00930975">
        <w:trPr>
          <w:trHeight w:hRule="exact" w:val="549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4B" w:rsidRPr="00017E6E" w:rsidRDefault="0003134B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Moodle</w:t>
            </w:r>
            <w:proofErr w:type="spellEnd"/>
          </w:p>
          <w:p w:rsidR="00984932" w:rsidRPr="00017E6E" w:rsidRDefault="00984932" w:rsidP="0098493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34B" w:rsidRPr="00017E6E" w:rsidRDefault="00FD736C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03134B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4B" w:rsidRPr="00017E6E" w:rsidRDefault="0003134B" w:rsidP="0098493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03134B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4B" w:rsidRPr="00017E6E" w:rsidRDefault="0003134B" w:rsidP="0098493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03134B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3134B" w:rsidRPr="00017E6E" w:rsidRDefault="0003134B" w:rsidP="0098493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34B" w:rsidRPr="00017E6E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B0745B">
        <w:trPr>
          <w:trHeight w:hRule="exact" w:val="400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4B3ADC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Loads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activities</w:t>
            </w:r>
            <w:proofErr w:type="spellEnd"/>
          </w:p>
        </w:tc>
        <w:tc>
          <w:tcPr>
            <w:tcW w:w="461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28D7" w:rsidRPr="00017E6E" w:rsidRDefault="004B3ADC" w:rsidP="009428D7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activity</w:t>
            </w:r>
            <w:proofErr w:type="spellEnd"/>
          </w:p>
        </w:tc>
        <w:tc>
          <w:tcPr>
            <w:tcW w:w="183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28D7" w:rsidRPr="00017E6E" w:rsidRDefault="004B3ADC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Weekly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hours</w:t>
            </w:r>
            <w:proofErr w:type="spellEnd"/>
          </w:p>
        </w:tc>
        <w:tc>
          <w:tcPr>
            <w:tcW w:w="1704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428D7" w:rsidRPr="00017E6E" w:rsidRDefault="004B3ADC" w:rsidP="009428D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load</w:t>
            </w:r>
            <w:proofErr w:type="spellEnd"/>
          </w:p>
        </w:tc>
      </w:tr>
      <w:tr w:rsidR="00210AEF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10AEF" w:rsidRPr="00017E6E" w:rsidRDefault="00210AEF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AEF" w:rsidRPr="00017E6E" w:rsidRDefault="004B53CB" w:rsidP="00017E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Lectures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10AEF" w:rsidRDefault="00941864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</w:p>
          <w:p w:rsidR="00941864" w:rsidRPr="00017E6E" w:rsidRDefault="00941864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10AEF" w:rsidRPr="00017E6E" w:rsidRDefault="00EC251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30</w:t>
            </w:r>
          </w:p>
        </w:tc>
      </w:tr>
      <w:tr w:rsidR="00210AEF" w:rsidRPr="00017E6E" w:rsidTr="00930975">
        <w:trPr>
          <w:trHeight w:hRule="exact" w:val="711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10AEF" w:rsidRPr="00017E6E" w:rsidRDefault="00210AEF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AEF" w:rsidRPr="00017E6E" w:rsidRDefault="004B53CB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Tasks</w:t>
            </w:r>
            <w:proofErr w:type="spellEnd"/>
          </w:p>
          <w:p w:rsidR="00984932" w:rsidRPr="00017E6E" w:rsidRDefault="004B53CB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Indipendent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teaching</w:t>
            </w:r>
            <w:proofErr w:type="spellEnd"/>
          </w:p>
          <w:p w:rsidR="00984932" w:rsidRPr="00017E6E" w:rsidRDefault="004B53CB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exams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10AEF" w:rsidRDefault="00941864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  <w:p w:rsidR="00941864" w:rsidRPr="00017E6E" w:rsidRDefault="00941864" w:rsidP="00254A9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10AEF" w:rsidRDefault="00EC251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15</w:t>
            </w:r>
          </w:p>
          <w:p w:rsidR="00941864" w:rsidRDefault="00254A91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80</w:t>
            </w:r>
            <w:bookmarkStart w:id="0" w:name="_GoBack"/>
            <w:bookmarkEnd w:id="0"/>
          </w:p>
          <w:p w:rsidR="00941864" w:rsidRPr="00017E6E" w:rsidRDefault="00941864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210AEF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10AEF" w:rsidRPr="00017E6E" w:rsidRDefault="00210AEF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AEF" w:rsidRPr="00017E6E" w:rsidRDefault="00210AEF" w:rsidP="0098493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:rsidR="00984932" w:rsidRPr="00017E6E" w:rsidRDefault="00984932" w:rsidP="0098493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10AEF" w:rsidRPr="00017E6E" w:rsidRDefault="00210AE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10AEF" w:rsidRPr="00017E6E" w:rsidRDefault="00210AE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7374F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7374F" w:rsidRPr="00017E6E" w:rsidRDefault="0067374F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4F" w:rsidRPr="00017E6E" w:rsidRDefault="0067374F" w:rsidP="0098493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7374F" w:rsidRPr="00017E6E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7374F" w:rsidRPr="00017E6E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7374F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7374F" w:rsidRPr="00017E6E" w:rsidRDefault="0067374F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4F" w:rsidRPr="00017E6E" w:rsidRDefault="0067374F" w:rsidP="0098493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7374F" w:rsidRPr="00017E6E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7374F" w:rsidRPr="00017E6E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9428D7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428D7" w:rsidRPr="00017E6E" w:rsidRDefault="009428D7" w:rsidP="0098493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9428D7" w:rsidRPr="00017E6E" w:rsidTr="00930975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4B3ADC" w:rsidP="004B3AD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Literature</w:t>
            </w:r>
            <w:r w:rsidR="0067374F" w:rsidRPr="00017E6E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proofErr w:type="spellStart"/>
            <w:r w:rsidR="0067374F" w:rsidRPr="00017E6E">
              <w:rPr>
                <w:rFonts w:ascii="Times New Roman" w:hAnsi="Times New Roman" w:cs="Times New Roman"/>
                <w:b/>
                <w:sz w:val="17"/>
                <w:szCs w:val="17"/>
              </w:rPr>
              <w:t>Referenc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:rsidR="00692E54" w:rsidRPr="00017E6E" w:rsidRDefault="00692E54" w:rsidP="00692E5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Ross</w:t>
            </w:r>
            <w:proofErr w:type="spellEnd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F. </w:t>
            </w:r>
            <w:proofErr w:type="spellStart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Collins</w:t>
            </w:r>
            <w:proofErr w:type="spellEnd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: </w:t>
            </w:r>
            <w:proofErr w:type="spellStart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Editing</w:t>
            </w:r>
            <w:proofErr w:type="spellEnd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Across</w:t>
            </w:r>
            <w:proofErr w:type="spellEnd"/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Media </w:t>
            </w:r>
          </w:p>
          <w:p w:rsidR="00692E54" w:rsidRPr="00017E6E" w:rsidRDefault="00B53E87" w:rsidP="00692E5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Musai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, </w:t>
            </w:r>
            <w:r w:rsidR="00692E54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ardhyl et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. Edukimi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mediatik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.</w:t>
            </w:r>
            <w:r w:rsidR="00692E54"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Tiranë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, 2011</w:t>
            </w:r>
          </w:p>
          <w:p w:rsidR="00B53E87" w:rsidRDefault="00017910" w:rsidP="00692E5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Dominick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Joseph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: Dinamika e komunikimit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masiv.UETPRESS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. Tiranë, 2010</w:t>
            </w:r>
            <w:r w:rsidR="00B53E87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</w:p>
          <w:p w:rsidR="00692E54" w:rsidRPr="00017E6E" w:rsidRDefault="00B53E87" w:rsidP="00692E5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Doracak për media. Shkup</w:t>
            </w:r>
          </w:p>
          <w:p w:rsidR="00692E54" w:rsidRPr="00017E6E" w:rsidRDefault="00692E54" w:rsidP="00692E5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Gazetaria e shkruar, Instituti i mediave, Tiranë</w:t>
            </w:r>
          </w:p>
          <w:p w:rsidR="00692E54" w:rsidRPr="00017E6E" w:rsidRDefault="00692E54" w:rsidP="00692E5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017E6E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Redaktimi letrar, publicistik, përkthimi, Tiranë</w:t>
            </w:r>
          </w:p>
          <w:p w:rsidR="00017910" w:rsidRPr="00017E6E" w:rsidRDefault="00017910" w:rsidP="00692E54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Hugho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Burgh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: Gazetari</w:t>
            </w:r>
            <w:r w:rsidR="00C42FD9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hulumtuese. TCJE. Tiranë, 2008</w:t>
            </w:r>
          </w:p>
        </w:tc>
      </w:tr>
      <w:tr w:rsidR="009428D7" w:rsidRPr="00017E6E" w:rsidTr="00930975">
        <w:trPr>
          <w:trHeight w:val="584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428D7" w:rsidRPr="00017E6E" w:rsidRDefault="004B3ADC" w:rsidP="00210AE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Contact</w:t>
            </w:r>
            <w:proofErr w:type="spellEnd"/>
          </w:p>
        </w:tc>
        <w:tc>
          <w:tcPr>
            <w:tcW w:w="815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28D7" w:rsidRPr="00017E6E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:rsidR="0067374F" w:rsidRPr="00017E6E" w:rsidRDefault="00320A4D" w:rsidP="00984932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085D56" w:rsidRPr="00017E6E">
              <w:rPr>
                <w:rFonts w:ascii="Times New Roman" w:hAnsi="Times New Roman" w:cs="Times New Roman"/>
              </w:rPr>
              <w:t>erid.selimi@ubt-uni.net</w:t>
            </w:r>
          </w:p>
        </w:tc>
      </w:tr>
    </w:tbl>
    <w:p w:rsidR="000C6AB8" w:rsidRPr="00017E6E" w:rsidRDefault="000C6AB8" w:rsidP="000C6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E3E" w:rsidRPr="00017E6E" w:rsidRDefault="00042E3E">
      <w:pPr>
        <w:rPr>
          <w:rFonts w:ascii="Times New Roman" w:hAnsi="Times New Roman" w:cs="Times New Roman"/>
        </w:rPr>
      </w:pPr>
    </w:p>
    <w:sectPr w:rsidR="00042E3E" w:rsidRPr="00017E6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96E"/>
    <w:multiLevelType w:val="hybridMultilevel"/>
    <w:tmpl w:val="94D4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6C5E"/>
    <w:multiLevelType w:val="hybridMultilevel"/>
    <w:tmpl w:val="660E7EE8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897"/>
    <w:multiLevelType w:val="hybridMultilevel"/>
    <w:tmpl w:val="39C21482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67060"/>
    <w:multiLevelType w:val="hybridMultilevel"/>
    <w:tmpl w:val="AE38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7910"/>
    <w:rsid w:val="00017E6E"/>
    <w:rsid w:val="0003134B"/>
    <w:rsid w:val="00042E3E"/>
    <w:rsid w:val="000819A7"/>
    <w:rsid w:val="00085D56"/>
    <w:rsid w:val="000B1206"/>
    <w:rsid w:val="000C073D"/>
    <w:rsid w:val="000C6AB8"/>
    <w:rsid w:val="000C6F94"/>
    <w:rsid w:val="00123A22"/>
    <w:rsid w:val="00126F6D"/>
    <w:rsid w:val="00131769"/>
    <w:rsid w:val="001320D7"/>
    <w:rsid w:val="001B74F1"/>
    <w:rsid w:val="0020500B"/>
    <w:rsid w:val="00210AEF"/>
    <w:rsid w:val="00241650"/>
    <w:rsid w:val="00246A6A"/>
    <w:rsid w:val="00254A91"/>
    <w:rsid w:val="00257260"/>
    <w:rsid w:val="00287523"/>
    <w:rsid w:val="002A1699"/>
    <w:rsid w:val="00320A4D"/>
    <w:rsid w:val="003305D3"/>
    <w:rsid w:val="003421E8"/>
    <w:rsid w:val="004505EA"/>
    <w:rsid w:val="0045162E"/>
    <w:rsid w:val="004A47D1"/>
    <w:rsid w:val="004B3ADC"/>
    <w:rsid w:val="004B53CB"/>
    <w:rsid w:val="004E1536"/>
    <w:rsid w:val="00502F3A"/>
    <w:rsid w:val="005421B8"/>
    <w:rsid w:val="00567E01"/>
    <w:rsid w:val="0057336A"/>
    <w:rsid w:val="00582735"/>
    <w:rsid w:val="005863AB"/>
    <w:rsid w:val="00591F02"/>
    <w:rsid w:val="005A78E7"/>
    <w:rsid w:val="005F0EA4"/>
    <w:rsid w:val="005F28D2"/>
    <w:rsid w:val="005F5B68"/>
    <w:rsid w:val="00605CEC"/>
    <w:rsid w:val="006103CC"/>
    <w:rsid w:val="00610F1F"/>
    <w:rsid w:val="0067374F"/>
    <w:rsid w:val="00692E54"/>
    <w:rsid w:val="00737572"/>
    <w:rsid w:val="00740091"/>
    <w:rsid w:val="00770E7A"/>
    <w:rsid w:val="007B4098"/>
    <w:rsid w:val="00804440"/>
    <w:rsid w:val="00814F3C"/>
    <w:rsid w:val="0082613A"/>
    <w:rsid w:val="00834EB7"/>
    <w:rsid w:val="008861C0"/>
    <w:rsid w:val="008D6E76"/>
    <w:rsid w:val="00930975"/>
    <w:rsid w:val="00941864"/>
    <w:rsid w:val="009428D7"/>
    <w:rsid w:val="00957A0B"/>
    <w:rsid w:val="00984932"/>
    <w:rsid w:val="00A11E91"/>
    <w:rsid w:val="00A66256"/>
    <w:rsid w:val="00A83D12"/>
    <w:rsid w:val="00AE5F81"/>
    <w:rsid w:val="00B0745B"/>
    <w:rsid w:val="00B1666B"/>
    <w:rsid w:val="00B53E87"/>
    <w:rsid w:val="00B70B7C"/>
    <w:rsid w:val="00B83229"/>
    <w:rsid w:val="00BF0C3D"/>
    <w:rsid w:val="00C42FD9"/>
    <w:rsid w:val="00C53605"/>
    <w:rsid w:val="00CD3F4C"/>
    <w:rsid w:val="00D00682"/>
    <w:rsid w:val="00E0513E"/>
    <w:rsid w:val="00E12F51"/>
    <w:rsid w:val="00E46CBF"/>
    <w:rsid w:val="00E804A3"/>
    <w:rsid w:val="00EB4183"/>
    <w:rsid w:val="00EC2517"/>
    <w:rsid w:val="00F41044"/>
    <w:rsid w:val="00F564FE"/>
    <w:rsid w:val="00F726EE"/>
    <w:rsid w:val="00F75D3B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05A"/>
  <w15:docId w15:val="{882947BF-FF11-4AED-A421-AB6EBD4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Armend Muja</dc:creator>
  <cp:lastModifiedBy>Ferid Selimi</cp:lastModifiedBy>
  <cp:revision>3</cp:revision>
  <dcterms:created xsi:type="dcterms:W3CDTF">2023-10-09T10:00:00Z</dcterms:created>
  <dcterms:modified xsi:type="dcterms:W3CDTF">2023-12-06T14:45:00Z</dcterms:modified>
</cp:coreProperties>
</file>