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C0" w:rsidRPr="00B17A2B" w:rsidRDefault="00EC76C0" w:rsidP="00EC76C0">
      <w:pPr>
        <w:pStyle w:val="ListParagraph"/>
        <w:tabs>
          <w:tab w:val="left" w:pos="2120"/>
          <w:tab w:val="left" w:pos="21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2B13" w:rsidRPr="00B17A2B" w:rsidRDefault="00D12B13" w:rsidP="00D12B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B17A2B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17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2B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  <w:r w:rsidRPr="00B1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832" w:rsidRPr="00B17A2B" w:rsidRDefault="00622832" w:rsidP="00370257">
      <w:pPr>
        <w:tabs>
          <w:tab w:val="left" w:pos="2120"/>
          <w:tab w:val="left" w:pos="215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790"/>
        <w:gridCol w:w="8190"/>
      </w:tblGrid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 </w:t>
            </w:r>
          </w:p>
        </w:tc>
        <w:tc>
          <w:tcPr>
            <w:tcW w:w="8190" w:type="dxa"/>
          </w:tcPr>
          <w:p w:rsidR="00B17A2B" w:rsidRDefault="00730A3E" w:rsidP="00622832">
            <w:pPr>
              <w:pStyle w:val="ListParagraph"/>
              <w:tabs>
                <w:tab w:val="left" w:pos="50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Public Relations </w:t>
            </w:r>
            <w:r w:rsidR="00B17A2B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2403AC" w:rsidRPr="00B17A2B" w:rsidRDefault="00622832" w:rsidP="00622832">
            <w:pPr>
              <w:pStyle w:val="ListParagraph"/>
              <w:tabs>
                <w:tab w:val="left" w:pos="504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403AC" w:rsidRPr="00B17A2B" w:rsidRDefault="00E038B1" w:rsidP="002403AC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Semester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203C6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               Code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03AC" w:rsidRPr="00B17A2B" w:rsidRDefault="00B17A2B" w:rsidP="00730A3E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OBLIGATORY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E038B1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3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038B1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5               </w:t>
            </w:r>
            <w:r w:rsidR="0073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B18" w:rsidRPr="00975DB6">
              <w:rPr>
                <w:rFonts w:ascii="Calibri" w:hAnsi="Calibri" w:cs="Calibri"/>
                <w:color w:val="404040" w:themeColor="text1" w:themeTint="BF"/>
                <w:sz w:val="26"/>
                <w:szCs w:val="26"/>
              </w:rPr>
              <w:t>90PUR201</w:t>
            </w:r>
            <w:r w:rsidR="00575B18"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0A3E"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76C0" w:rsidRPr="00B17A2B" w:rsidTr="00B36A30">
        <w:trPr>
          <w:trHeight w:val="357"/>
        </w:trPr>
        <w:tc>
          <w:tcPr>
            <w:tcW w:w="2790" w:type="dxa"/>
            <w:shd w:val="clear" w:color="auto" w:fill="DEEAF6" w:themeFill="accent1" w:themeFillTint="33"/>
          </w:tcPr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Lecturer </w:t>
            </w:r>
          </w:p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Assistant </w:t>
            </w:r>
          </w:p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Supervisor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EC76C0" w:rsidRPr="00B17A2B" w:rsidRDefault="002403AC" w:rsidP="00313A35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Xheavhire</w:t>
            </w:r>
            <w:proofErr w:type="spellEnd"/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Millaku</w:t>
            </w:r>
            <w:proofErr w:type="spellEnd"/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Aims and objectives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F12E60" w:rsidRDefault="00E61A57" w:rsidP="00E6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730A3E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studenst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; the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practicies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crises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 w:rsidRPr="00F12E6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F12E60">
              <w:rPr>
                <w:rFonts w:ascii="Times New Roman" w:hAnsi="Times New Roman" w:cs="Times New Roman"/>
                <w:sz w:val="24"/>
                <w:szCs w:val="24"/>
              </w:rPr>
              <w:t>munication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="00F1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C0" w:rsidRPr="00B17A2B" w:rsidRDefault="00EC76C0" w:rsidP="00ED220D">
            <w:pPr>
              <w:pStyle w:val="ListParagraph"/>
              <w:tabs>
                <w:tab w:val="left" w:pos="81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Expected outcomes </w:t>
            </w:r>
          </w:p>
        </w:tc>
        <w:tc>
          <w:tcPr>
            <w:tcW w:w="8190" w:type="dxa"/>
          </w:tcPr>
          <w:p w:rsidR="00622832" w:rsidRPr="00B17A2B" w:rsidRDefault="00F12E60" w:rsidP="00A415A9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achieve competences base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on the theoretical the public</w:t>
            </w:r>
            <w:r w:rsidRPr="00F1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relation, the strength and power of speech in the public. They will know the method of finding persuasive messages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As well,</w:t>
            </w:r>
            <w:r w:rsidRPr="00F1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will strengthen the competence of creating accurate speeches and persuasion. Will know the methods of persuasion and thought-critical reflection.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F1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tudents will learn good crisis management practices through communication with the public, develop new communication skills in the organization where they work and in society, and will kno</w:t>
            </w:r>
            <w:r w:rsid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the key elements for successful public communication.  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Subject content </w:t>
            </w:r>
          </w:p>
        </w:tc>
        <w:tc>
          <w:tcPr>
            <w:tcW w:w="8190" w:type="dxa"/>
          </w:tcPr>
          <w:p w:rsidR="00EC76C0" w:rsidRPr="00B17A2B" w:rsidRDefault="0047230C" w:rsidP="002403AC">
            <w:pPr>
              <w:pStyle w:val="ListParagraph"/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proofErr w:type="spellEnd"/>
            <w:r w:rsidRPr="00B17A2B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="00B17A2B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B17A2B" w:rsidRDefault="00EC76C0" w:rsidP="00EC76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ACE" w:rsidRDefault="006D5ACE" w:rsidP="00E61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introduce</w:t>
            </w:r>
          </w:p>
          <w:p w:rsidR="00EC76C0" w:rsidRPr="00B17A2B" w:rsidRDefault="00A415A9" w:rsidP="00E61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history of PR      </w:t>
            </w:r>
            <w:r w:rsidR="00E61A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B17A2B" w:rsidRDefault="00A415A9" w:rsidP="00E61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Public Relation theory</w:t>
            </w:r>
            <w:r w:rsidR="003702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47230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70257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C76C0" w:rsidRPr="00B17A2B" w:rsidRDefault="00A415A9" w:rsidP="00D12B13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the public speaker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7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15A9" w:rsidRPr="00A415A9" w:rsidRDefault="00A415A9" w:rsidP="00A415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message</w:t>
            </w:r>
          </w:p>
          <w:p w:rsidR="00A415A9" w:rsidRDefault="00A415A9" w:rsidP="00A415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Creation image </w:t>
            </w:r>
            <w:r w:rsidR="00370257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  <w:p w:rsidR="00EC76C0" w:rsidRPr="00A415A9" w:rsidRDefault="00A415A9" w:rsidP="00A415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and organize the speech</w:t>
            </w:r>
            <w:r w:rsidR="00EC76C0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  <w:p w:rsidR="00EC76C0" w:rsidRPr="00A415A9" w:rsidRDefault="00A415A9" w:rsidP="00A415A9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relation ethic and culture                    </w:t>
            </w:r>
            <w:r w:rsidR="0057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15A9" w:rsidRPr="006D5ACE" w:rsidRDefault="00A415A9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Public Speaking                                               </w:t>
            </w:r>
            <w:r w:rsidR="00575B18"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public </w:t>
            </w:r>
            <w:r w:rsidR="00575B18"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575B18" w:rsidRPr="006D5ACE" w:rsidRDefault="00575B18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</w:t>
            </w:r>
            <w:r w:rsidR="006D5ACE"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conviction</w:t>
            </w:r>
            <w:r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A415A9" w:rsidRDefault="00575B18" w:rsidP="006D5ACE">
            <w:pPr>
              <w:pStyle w:val="ListParagraph"/>
              <w:numPr>
                <w:ilvl w:val="1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critical thinking      </w:t>
            </w:r>
            <w:r w:rsidR="00A415A9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47230C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="00622832" w:rsidRPr="00A4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B17A2B" w:rsidRDefault="0047230C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 crises through public relations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C76C0" w:rsidRPr="00B17A2B" w:rsidRDefault="00575B18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relation and media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C76C0" w:rsidRPr="00B17A2B" w:rsidRDefault="00575B18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relation and marketing function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EC76C0" w:rsidRPr="00B17A2B" w:rsidRDefault="00575B18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Communications and listening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230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  <w:p w:rsidR="00EC76C0" w:rsidRPr="00B17A2B" w:rsidRDefault="00575B18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Communications and Strategy creation                       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  <w:r w:rsidR="00203C6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C76C0" w:rsidRDefault="0047230C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Research good practices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5ACE" w:rsidRPr="00B17A2B" w:rsidRDefault="006D5ACE" w:rsidP="006D5ACE">
            <w:pPr>
              <w:pStyle w:val="ListParagraph"/>
              <w:numPr>
                <w:ilvl w:val="0"/>
                <w:numId w:val="1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6C0" w:rsidRPr="00B17A2B" w:rsidRDefault="00EC76C0" w:rsidP="00575B18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76C0" w:rsidRPr="00B17A2B" w:rsidTr="00AD3F1A">
        <w:trPr>
          <w:trHeight w:val="1412"/>
        </w:trPr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E61A57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Teaching methods 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90" w:type="dxa"/>
          </w:tcPr>
          <w:p w:rsidR="00EC76C0" w:rsidRPr="006D5ACE" w:rsidRDefault="00E61A57" w:rsidP="006D5ACE">
            <w:pPr>
              <w:pStyle w:val="ListParagraph"/>
              <w:shd w:val="clear" w:color="auto" w:fill="DEEAF6" w:themeFill="accent1" w:themeFillTint="33"/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weight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  <w:p w:rsidR="00EC76C0" w:rsidRPr="00B17A2B" w:rsidRDefault="00E61A57" w:rsidP="00EC76C0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  <w:p w:rsidR="00EC76C0" w:rsidRPr="00B17A2B" w:rsidRDefault="00E61A57" w:rsidP="00EC76C0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20% </w:t>
            </w:r>
          </w:p>
          <w:p w:rsidR="00EC76C0" w:rsidRPr="00B17A2B" w:rsidRDefault="00E61A57" w:rsidP="00E61A57">
            <w:pPr>
              <w:pStyle w:val="ListParagraph"/>
              <w:numPr>
                <w:ilvl w:val="0"/>
                <w:numId w:val="2"/>
              </w:numPr>
              <w:tabs>
                <w:tab w:val="left" w:pos="13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studies   </w:t>
            </w:r>
            <w:r w:rsidR="00EC76C0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20%</w:t>
            </w:r>
          </w:p>
        </w:tc>
      </w:tr>
      <w:tr w:rsidR="002403AC" w:rsidRPr="00B17A2B" w:rsidTr="00AD3F1A">
        <w:tc>
          <w:tcPr>
            <w:tcW w:w="2790" w:type="dxa"/>
            <w:shd w:val="clear" w:color="auto" w:fill="DEEAF6" w:themeFill="accent1" w:themeFillTint="33"/>
          </w:tcPr>
          <w:p w:rsidR="00CE4DF2" w:rsidRPr="00B17A2B" w:rsidRDefault="00CC36FC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methods </w:t>
            </w:r>
          </w:p>
          <w:p w:rsidR="00CE4DF2" w:rsidRPr="00B17A2B" w:rsidRDefault="00CE4DF2" w:rsidP="00CE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3AC" w:rsidRPr="00B17A2B" w:rsidRDefault="002403AC" w:rsidP="00CE4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:rsidR="002403AC" w:rsidRPr="00B17A2B" w:rsidRDefault="00B17A2B" w:rsidP="00622832">
            <w:pPr>
              <w:pStyle w:val="ListParagraph"/>
              <w:shd w:val="clear" w:color="auto" w:fill="DEEAF6" w:themeFill="accent1" w:themeFillTint="33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activity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Week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CC36F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weight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2832" w:rsidRPr="00B17A2B" w:rsidRDefault="00622832" w:rsidP="002403AC">
            <w:pPr>
              <w:pStyle w:val="ListParagraph"/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Mid-term exam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study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12                 20%</w:t>
            </w:r>
          </w:p>
          <w:p w:rsidR="002403AC" w:rsidRPr="00B17A2B" w:rsidRDefault="00CC36FC" w:rsidP="002403A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Participation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1-12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10%</w:t>
            </w:r>
          </w:p>
          <w:p w:rsidR="002403AC" w:rsidRPr="00B17A2B" w:rsidRDefault="00CC36FC" w:rsidP="00CC36FC">
            <w:pPr>
              <w:pStyle w:val="ListParagraph"/>
              <w:numPr>
                <w:ilvl w:val="0"/>
                <w:numId w:val="5"/>
              </w:numPr>
              <w:tabs>
                <w:tab w:val="left" w:pos="3481"/>
                <w:tab w:val="left" w:pos="5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exam         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50 %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BE00AD" w:rsidRPr="00B17A2B" w:rsidRDefault="00CC36FC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Sources and means of the implementation of the course </w:t>
            </w:r>
          </w:p>
          <w:p w:rsidR="00BE00AD" w:rsidRPr="00B17A2B" w:rsidRDefault="00BE00AD" w:rsidP="00BE0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76C0" w:rsidRPr="00B17A2B" w:rsidRDefault="00EC76C0" w:rsidP="00BE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</w:tcPr>
          <w:p w:rsidR="00EC76C0" w:rsidRPr="00B17A2B" w:rsidRDefault="00EC76C0" w:rsidP="00BE00AD">
            <w:pPr>
              <w:pStyle w:val="ListParagraph"/>
              <w:shd w:val="clear" w:color="auto" w:fill="DEEAF6" w:themeFill="accent1" w:themeFillTint="33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</w:t>
            </w:r>
          </w:p>
          <w:p w:rsidR="00622832" w:rsidRPr="00B17A2B" w:rsidRDefault="00622832" w:rsidP="00622832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AD" w:rsidRPr="00B17A2B" w:rsidRDefault="00D12B13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Classroom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  <w:p w:rsidR="00BE00AD" w:rsidRPr="00B17A2B" w:rsidRDefault="00BE00AD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  <w:p w:rsidR="00EC76C0" w:rsidRPr="00B17A2B" w:rsidRDefault="00D12B13" w:rsidP="002403AC">
            <w:pPr>
              <w:pStyle w:val="ListParagraph"/>
              <w:numPr>
                <w:ilvl w:val="0"/>
                <w:numId w:val="4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 </w:t>
            </w:r>
          </w:p>
          <w:p w:rsidR="00EC76C0" w:rsidRPr="00B17A2B" w:rsidRDefault="00EC76C0" w:rsidP="00EC76C0">
            <w:pPr>
              <w:pStyle w:val="ListParagraph"/>
              <w:tabs>
                <w:tab w:val="left" w:pos="2120"/>
                <w:tab w:val="left" w:pos="2152"/>
              </w:tabs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D12B13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Load and activities </w:t>
            </w:r>
          </w:p>
          <w:p w:rsidR="00EC76C0" w:rsidRPr="00B17A2B" w:rsidRDefault="00EC76C0" w:rsidP="00D1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0" w:type="dxa"/>
          </w:tcPr>
          <w:p w:rsidR="00EC76C0" w:rsidRPr="00B17A2B" w:rsidRDefault="00D12B13" w:rsidP="002403AC">
            <w:pPr>
              <w:pStyle w:val="ListParagraph"/>
              <w:shd w:val="clear" w:color="auto" w:fill="DEEAF6" w:themeFill="accent1" w:themeFillTint="33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type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Weekly hours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Overall load </w:t>
            </w:r>
          </w:p>
          <w:p w:rsidR="00622832" w:rsidRPr="00B17A2B" w:rsidRDefault="00622832" w:rsidP="00622832">
            <w:pPr>
              <w:pStyle w:val="ListParagraph"/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00AD" w:rsidRPr="00B17A2B" w:rsidRDefault="00BE00AD" w:rsidP="00BE00AD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12B13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ectures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       </w:t>
            </w:r>
            <w:r w:rsidR="002403AC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="0058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2B13" w:rsidRPr="00B17A2B" w:rsidRDefault="00D12B13" w:rsidP="00BE00AD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Seminars                                  </w:t>
            </w:r>
            <w:r w:rsidR="0092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                                     </w:t>
            </w:r>
            <w:r w:rsidR="0058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E00AD" w:rsidRPr="00B17A2B" w:rsidRDefault="00D12B13" w:rsidP="00BE00AD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studies            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622832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927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  <w:r w:rsidR="00B3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BE00AD" w:rsidRPr="00B17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00AD" w:rsidRPr="005861AB" w:rsidRDefault="002403AC" w:rsidP="005861AB">
            <w:pPr>
              <w:tabs>
                <w:tab w:val="left" w:pos="2120"/>
                <w:tab w:val="left" w:pos="2152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E00AD" w:rsidRPr="00586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D12B13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</w:t>
            </w:r>
            <w:r w:rsidR="00EC76C0"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/Referenc</w:t>
            </w: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</w:p>
        </w:tc>
        <w:tc>
          <w:tcPr>
            <w:tcW w:w="8190" w:type="dxa"/>
          </w:tcPr>
          <w:p w:rsidR="00575B18" w:rsidRPr="00F55883" w:rsidRDefault="00575B18" w:rsidP="005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Lattimore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.,</w:t>
            </w:r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 Marrëdhëniet me Publikun: Profesioni dhe Praktika, Botimi IV, Londër,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McGra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w</w:t>
            </w:r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-Hill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Higher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Education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-2012</w:t>
            </w:r>
          </w:p>
          <w:p w:rsidR="00575B18" w:rsidRDefault="00575B18" w:rsidP="005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</w:t>
            </w:r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Hyrje në Komunikimin Politik, UET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Tiranë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2009.</w:t>
            </w:r>
          </w:p>
          <w:p w:rsidR="00575B18" w:rsidRPr="00F55883" w:rsidRDefault="00575B18" w:rsidP="005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Stephen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Lucas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Arti i të folurit në Publik, UET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Tiranë, 2010.</w:t>
            </w:r>
          </w:p>
          <w:p w:rsidR="00575B18" w:rsidRPr="00F55883" w:rsidRDefault="00575B18" w:rsidP="005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Marrëdhëniet publike,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Joe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Mrconi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UET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2010.</w:t>
            </w:r>
          </w:p>
          <w:p w:rsidR="00622832" w:rsidRPr="00575B18" w:rsidRDefault="00575B18" w:rsidP="005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Marshall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Instrumentet e Komunikimit. Media si një zgjatim i njeriut, Instituti i Dialogut dhe Komunikimit, Tiranë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2004.</w:t>
            </w:r>
          </w:p>
        </w:tc>
      </w:tr>
      <w:tr w:rsidR="00EC76C0" w:rsidRPr="00B17A2B" w:rsidTr="00AD3F1A">
        <w:tc>
          <w:tcPr>
            <w:tcW w:w="2790" w:type="dxa"/>
            <w:shd w:val="clear" w:color="auto" w:fill="DEEAF6" w:themeFill="accent1" w:themeFillTint="33"/>
          </w:tcPr>
          <w:p w:rsidR="00EC76C0" w:rsidRPr="00B17A2B" w:rsidRDefault="00D12B13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7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</w:t>
            </w:r>
          </w:p>
        </w:tc>
        <w:tc>
          <w:tcPr>
            <w:tcW w:w="8190" w:type="dxa"/>
          </w:tcPr>
          <w:p w:rsidR="00EC76C0" w:rsidRPr="00C75354" w:rsidRDefault="008C19CE" w:rsidP="00EC76C0">
            <w:pPr>
              <w:pStyle w:val="ListParagraph"/>
              <w:tabs>
                <w:tab w:val="left" w:pos="2120"/>
                <w:tab w:val="left" w:pos="21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75354" w:rsidRPr="00335E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xhevahire.millaku@ubt-uni.net</w:t>
              </w:r>
            </w:hyperlink>
            <w:r w:rsidR="002403AC" w:rsidRPr="00C7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C76C0" w:rsidRPr="00B17A2B" w:rsidRDefault="00EC76C0" w:rsidP="00EC76C0">
      <w:pPr>
        <w:pStyle w:val="ListParagraph"/>
        <w:tabs>
          <w:tab w:val="left" w:pos="2120"/>
          <w:tab w:val="left" w:pos="21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6147F" w:rsidRPr="00B17A2B" w:rsidRDefault="00EC76C0" w:rsidP="00EC76C0">
      <w:pPr>
        <w:tabs>
          <w:tab w:val="left" w:pos="3956"/>
        </w:tabs>
        <w:rPr>
          <w:rFonts w:ascii="Times New Roman" w:hAnsi="Times New Roman" w:cs="Times New Roman"/>
          <w:sz w:val="24"/>
          <w:szCs w:val="24"/>
        </w:rPr>
      </w:pPr>
      <w:r w:rsidRPr="00B17A2B">
        <w:rPr>
          <w:rFonts w:ascii="Times New Roman" w:hAnsi="Times New Roman" w:cs="Times New Roman"/>
          <w:sz w:val="24"/>
          <w:szCs w:val="24"/>
        </w:rPr>
        <w:tab/>
      </w: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p w:rsidR="00EC76C0" w:rsidRPr="00B17A2B" w:rsidRDefault="00EC76C0">
      <w:pPr>
        <w:rPr>
          <w:rFonts w:ascii="Times New Roman" w:hAnsi="Times New Roman" w:cs="Times New Roman"/>
          <w:sz w:val="24"/>
          <w:szCs w:val="24"/>
        </w:rPr>
      </w:pPr>
    </w:p>
    <w:sectPr w:rsidR="00EC76C0" w:rsidRPr="00B17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CE" w:rsidRDefault="008C19CE" w:rsidP="00E038B1">
      <w:pPr>
        <w:spacing w:after="0" w:line="240" w:lineRule="auto"/>
      </w:pPr>
      <w:r>
        <w:separator/>
      </w:r>
    </w:p>
  </w:endnote>
  <w:endnote w:type="continuationSeparator" w:id="0">
    <w:p w:rsidR="008C19CE" w:rsidRDefault="008C19CE" w:rsidP="00E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CE" w:rsidRDefault="008C19CE" w:rsidP="00E038B1">
      <w:pPr>
        <w:spacing w:after="0" w:line="240" w:lineRule="auto"/>
      </w:pPr>
      <w:r>
        <w:separator/>
      </w:r>
    </w:p>
  </w:footnote>
  <w:footnote w:type="continuationSeparator" w:id="0">
    <w:p w:rsidR="008C19CE" w:rsidRDefault="008C19CE" w:rsidP="00E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 w:rsidP="00E038B1">
    <w:pPr>
      <w:pStyle w:val="Header"/>
      <w:jc w:val="center"/>
    </w:pPr>
    <w:r w:rsidRPr="00E0149F">
      <w:rPr>
        <w:rFonts w:ascii="Swis721 Cn BT" w:hAnsi="Swis721 Cn BT" w:cs="Helvetica"/>
        <w:noProof/>
        <w:lang w:val="en-US"/>
      </w:rPr>
      <w:drawing>
        <wp:inline distT="0" distB="0" distL="0" distR="0" wp14:anchorId="42B772EC" wp14:editId="12C0B283">
          <wp:extent cx="800273" cy="681486"/>
          <wp:effectExtent l="0" t="0" r="0" b="4445"/>
          <wp:docPr id="62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B1" w:rsidRDefault="00E0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8E1"/>
    <w:multiLevelType w:val="hybridMultilevel"/>
    <w:tmpl w:val="9A8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433"/>
    <w:multiLevelType w:val="multilevel"/>
    <w:tmpl w:val="5234E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E8D6FC9"/>
    <w:multiLevelType w:val="multilevel"/>
    <w:tmpl w:val="E1CE262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07A399B"/>
    <w:multiLevelType w:val="hybridMultilevel"/>
    <w:tmpl w:val="9D9276A0"/>
    <w:lvl w:ilvl="0" w:tplc="FAB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C79CD"/>
    <w:multiLevelType w:val="hybridMultilevel"/>
    <w:tmpl w:val="DA8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CF9"/>
    <w:multiLevelType w:val="multilevel"/>
    <w:tmpl w:val="D6C2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534FF6"/>
    <w:multiLevelType w:val="hybridMultilevel"/>
    <w:tmpl w:val="3F4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2D"/>
    <w:rsid w:val="00190E6C"/>
    <w:rsid w:val="001A1A82"/>
    <w:rsid w:val="00203C62"/>
    <w:rsid w:val="002168EF"/>
    <w:rsid w:val="002403AC"/>
    <w:rsid w:val="00313A35"/>
    <w:rsid w:val="00326CB1"/>
    <w:rsid w:val="0035325D"/>
    <w:rsid w:val="00370257"/>
    <w:rsid w:val="003F3B1E"/>
    <w:rsid w:val="0047230C"/>
    <w:rsid w:val="004F6817"/>
    <w:rsid w:val="00575B18"/>
    <w:rsid w:val="005861AB"/>
    <w:rsid w:val="00594B0C"/>
    <w:rsid w:val="005B2E85"/>
    <w:rsid w:val="00622832"/>
    <w:rsid w:val="006A59FF"/>
    <w:rsid w:val="006D5ACE"/>
    <w:rsid w:val="00730A3E"/>
    <w:rsid w:val="008C19CE"/>
    <w:rsid w:val="0092731D"/>
    <w:rsid w:val="00A27E10"/>
    <w:rsid w:val="00A415A9"/>
    <w:rsid w:val="00A6147F"/>
    <w:rsid w:val="00A664A3"/>
    <w:rsid w:val="00AD3F1A"/>
    <w:rsid w:val="00B17A2B"/>
    <w:rsid w:val="00B20E78"/>
    <w:rsid w:val="00B36A30"/>
    <w:rsid w:val="00B93A3B"/>
    <w:rsid w:val="00BE00AD"/>
    <w:rsid w:val="00C45F8F"/>
    <w:rsid w:val="00C575A9"/>
    <w:rsid w:val="00C75354"/>
    <w:rsid w:val="00CC36FC"/>
    <w:rsid w:val="00CE4DF2"/>
    <w:rsid w:val="00D12B13"/>
    <w:rsid w:val="00D27F1D"/>
    <w:rsid w:val="00D97D83"/>
    <w:rsid w:val="00E038B1"/>
    <w:rsid w:val="00E61A57"/>
    <w:rsid w:val="00EC0CC2"/>
    <w:rsid w:val="00EC76C0"/>
    <w:rsid w:val="00ED220D"/>
    <w:rsid w:val="00F12E60"/>
    <w:rsid w:val="00F5162D"/>
    <w:rsid w:val="00FA796C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CC44"/>
  <w15:chartTrackingRefBased/>
  <w15:docId w15:val="{CB323146-65B5-4FA9-B0AD-55326FD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C0"/>
    <w:pPr>
      <w:ind w:left="720"/>
      <w:contextualSpacing/>
    </w:pPr>
  </w:style>
  <w:style w:type="table" w:styleId="TableGrid">
    <w:name w:val="Table Grid"/>
    <w:basedOn w:val="TableNormal"/>
    <w:uiPriority w:val="39"/>
    <w:rsid w:val="00EC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B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B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evahire.millaku@ubt-u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53C8-01C6-479F-A3D4-E02A13A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Ferid Selimi</cp:lastModifiedBy>
  <cp:revision>6</cp:revision>
  <dcterms:created xsi:type="dcterms:W3CDTF">2021-03-02T14:05:00Z</dcterms:created>
  <dcterms:modified xsi:type="dcterms:W3CDTF">2023-12-06T15:40:00Z</dcterms:modified>
</cp:coreProperties>
</file>