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000"/>
        <w:gridCol w:w="1224"/>
        <w:gridCol w:w="2496"/>
        <w:gridCol w:w="1588"/>
      </w:tblGrid>
      <w:tr w:rsidR="00DB6AC6" w:rsidRPr="00E26060" w14:paraId="6B31A36B" w14:textId="77777777" w:rsidTr="004A16DA"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861235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0195A35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4A8E9B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Shkathtësitë e të folurit</w:t>
            </w:r>
          </w:p>
          <w:p w14:paraId="3F1A335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13ECD578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A572CE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620BC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Lloji </w:t>
            </w:r>
          </w:p>
          <w:p w14:paraId="2569DEA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F89F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AC34F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7829E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DB6AC6" w:rsidRPr="00E26060" w14:paraId="3EE52AA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FC61FC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EBEF90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2F65520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09669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B236C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B59E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90SPS153</w:t>
            </w:r>
          </w:p>
        </w:tc>
      </w:tr>
      <w:tr w:rsidR="00DB6AC6" w:rsidRPr="00E26060" w14:paraId="22056840" w14:textId="77777777" w:rsidTr="004A16DA">
        <w:trPr>
          <w:trHeight w:hRule="exact" w:val="288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8A1BE1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006D43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599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052C36EA" w14:textId="77777777" w:rsidTr="004A16DA">
        <w:trPr>
          <w:trHeight w:hRule="exact" w:val="288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47D2A0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0C2330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Votim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Hanoli</w:t>
            </w:r>
            <w:proofErr w:type="spellEnd"/>
          </w:p>
        </w:tc>
      </w:tr>
      <w:tr w:rsidR="00DB6AC6" w:rsidRPr="00E26060" w14:paraId="078E2B1B" w14:textId="77777777" w:rsidTr="004A16DA">
        <w:trPr>
          <w:trHeight w:hRule="exact" w:val="288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C43584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9F124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35D53138" w14:textId="77777777" w:rsidTr="004A16DA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4186C7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52FB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A69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Studentët do të njihen me rregullat, standardet, teknikat e të folurit bukur, në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 Përmes ligjëratave, ata do të marrin njohuri specifike për të folurit në radio dhe TV, për kategoritë e ndryshme të prezantimit, varësisht prej kategorisë, zhanrit dhe programit.</w:t>
            </w:r>
          </w:p>
        </w:tc>
      </w:tr>
      <w:tr w:rsidR="00DB6AC6" w:rsidRPr="00E26060" w14:paraId="6D815DC4" w14:textId="77777777" w:rsidTr="004A16DA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ECE11E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2901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41E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Studentët do të përfitojnë shkathtësi praktike për të folur bukur, pa gabime, në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, në programe të ndryshme radiofonike dhe televizive, informative apo argëtuese. Studentët do të përgatiten se si t’ia përshtatin të folurit, zhanreve të ndryshme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gazetarisë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audiovizua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le.</w:t>
            </w:r>
          </w:p>
        </w:tc>
      </w:tr>
      <w:tr w:rsidR="00DB6AC6" w:rsidRPr="00A116B1" w14:paraId="6DDAA39A" w14:textId="77777777" w:rsidTr="004A16DA">
        <w:trPr>
          <w:trHeight w:val="976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6F7104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8592C" w14:textId="77777777" w:rsidR="00DB6AC6" w:rsidRDefault="00DB6AC6" w:rsidP="004A16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1BD9B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parë: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Njohje me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syllabusin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dhe hyrje në lëndë.</w:t>
            </w:r>
          </w:p>
          <w:p w14:paraId="5693CE3B" w14:textId="77777777" w:rsidR="00DB6AC6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 e dytë: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folurit.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Perkufizime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koncepte.</w:t>
            </w:r>
          </w:p>
          <w:p w14:paraId="7F5B8EF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 e tretë: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Si të flasim në radio dhe televizion, gjuha e folur në radio e TV?</w:t>
            </w:r>
          </w:p>
          <w:p w14:paraId="76896CC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katërt: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Folësi në TV e radio, tiparet e tyre.</w:t>
            </w:r>
          </w:p>
          <w:p w14:paraId="111F0BA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Detyrë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: Analizoni një folës në TV ose radio.</w:t>
            </w:r>
          </w:p>
          <w:p w14:paraId="6F0EB4CC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pestë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 Zëri, toni, vokali, kategorizimet vokale.</w:t>
            </w:r>
          </w:p>
          <w:p w14:paraId="223AD99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 e gjashtë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Frymëmarrja dhe prodhimi i zërit në raport me prezantimet.</w:t>
            </w:r>
          </w:p>
          <w:p w14:paraId="46BB3E44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shtatë: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Kolokium</w:t>
            </w:r>
            <w:proofErr w:type="spellEnd"/>
          </w:p>
          <w:p w14:paraId="18509591" w14:textId="77777777" w:rsidR="00DB6AC6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tetë: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Rregullat e prezantimit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868D80" w14:textId="77777777" w:rsidR="00DB6AC6" w:rsidRPr="00C9077F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Detyrë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: Përgatitja e një teksti të shkurtër dhe leximi i tij në klasë.</w:t>
            </w:r>
          </w:p>
          <w:p w14:paraId="52EF5FAF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nëntë: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antia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e gjuhës në radio dhe TV – Zotërimi i gjuhës standarde.</w:t>
            </w:r>
          </w:p>
          <w:p w14:paraId="4436A3E7" w14:textId="77777777" w:rsidR="00DB6AC6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dhjetë: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 Rregulla teknike dhe fizike të paraqitjes së folësve në radio dhe televizion, pengesat në të folur.</w:t>
            </w:r>
          </w:p>
          <w:p w14:paraId="7F3A9AE6" w14:textId="77777777" w:rsidR="00DB6AC6" w:rsidRPr="00D8119B" w:rsidRDefault="00DB6AC6" w:rsidP="004A16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Detyrë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: Analizë e prezantimit të një edicioni lajmesh.</w:t>
            </w:r>
          </w:p>
          <w:p w14:paraId="06555C6C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njëmbëdhjetë: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>Zhanret gazetareske në radio e TV, leximi dhe interpretimi i tyre.</w:t>
            </w:r>
          </w:p>
          <w:p w14:paraId="13C7603F" w14:textId="77777777" w:rsidR="00DB6AC6" w:rsidRPr="00E26060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sz w:val="24"/>
                <w:szCs w:val="24"/>
              </w:rPr>
              <w:t>Java e dymbëdhjetë: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/>
                <w:sz w:val="24"/>
                <w:szCs w:val="24"/>
              </w:rPr>
              <w:t xml:space="preserve">Zhanret gazetareske në radio e TV, </w:t>
            </w:r>
            <w:r>
              <w:rPr>
                <w:rFonts w:ascii="Times New Roman" w:hAnsi="Times New Roman"/>
                <w:sz w:val="24"/>
                <w:szCs w:val="24"/>
              </w:rPr>
              <w:t>leximi dhe interpretimi i tyre.</w:t>
            </w:r>
          </w:p>
          <w:p w14:paraId="62C40F86" w14:textId="77777777" w:rsidR="00DB6AC6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 e trembëdhje</w:t>
            </w:r>
            <w:r w:rsidRPr="00B4104F">
              <w:rPr>
                <w:rFonts w:ascii="Times New Roman" w:hAnsi="Times New Roman"/>
                <w:b/>
                <w:sz w:val="24"/>
                <w:szCs w:val="24"/>
              </w:rPr>
              <w:t>të: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16B1">
              <w:rPr>
                <w:rFonts w:ascii="Times New Roman" w:hAnsi="Times New Roman"/>
                <w:sz w:val="24"/>
                <w:szCs w:val="24"/>
              </w:rPr>
              <w:t>Analize e fjalimeve TED</w:t>
            </w:r>
          </w:p>
          <w:p w14:paraId="16948231" w14:textId="77777777" w:rsidR="00DB6AC6" w:rsidRPr="00D8119B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04F">
              <w:rPr>
                <w:rFonts w:ascii="Times New Roman" w:hAnsi="Times New Roman"/>
                <w:b/>
                <w:sz w:val="24"/>
                <w:szCs w:val="24"/>
              </w:rPr>
              <w:t xml:space="preserve">Java e katërmbëdhjetë: </w:t>
            </w:r>
            <w:r w:rsidRPr="00D8119B">
              <w:rPr>
                <w:rFonts w:ascii="Times New Roman" w:hAnsi="Times New Roman"/>
                <w:sz w:val="24"/>
                <w:szCs w:val="24"/>
              </w:rPr>
              <w:t>Praktikum. Lexim skicash dhe fjalimesh te ndryshme.</w:t>
            </w:r>
          </w:p>
          <w:p w14:paraId="5A53449A" w14:textId="77777777" w:rsidR="00DB6AC6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04F">
              <w:rPr>
                <w:rFonts w:ascii="Times New Roman" w:hAnsi="Times New Roman"/>
                <w:b/>
                <w:sz w:val="24"/>
                <w:szCs w:val="24"/>
              </w:rPr>
              <w:t>Java e pesëmbëdhjetë: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Prezantimi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detyres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B41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BA7A1" w14:textId="77777777" w:rsidR="00DB6AC6" w:rsidRPr="00A116B1" w:rsidRDefault="00DB6AC6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C6" w:rsidRPr="00E26060" w14:paraId="04833A58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7C33C2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7DC6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FC18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0048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647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B6B0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C35517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DB6AC6" w:rsidRPr="00E26060" w14:paraId="40BD5878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961FBF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BFCD5" w14:textId="77777777" w:rsidR="00DB6AC6" w:rsidRPr="00E26060" w:rsidRDefault="00DB6AC6" w:rsidP="004A16DA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Vijimi në ligjërata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EF69D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6AC6" w:rsidRPr="00E26060" w14:paraId="470B421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AF7BFD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8A46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17EDD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6AC6" w:rsidRPr="00E26060" w14:paraId="1514056F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5F2698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75AB4" w14:textId="77777777" w:rsidR="00DB6AC6" w:rsidRPr="00E26060" w:rsidRDefault="00DB6AC6" w:rsidP="004A16DA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3.Kolok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iumi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EF6C2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AC6" w:rsidRPr="00E26060" w14:paraId="638B5DC6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2125E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7D9B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662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632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975EA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49E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E606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8425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10B9847E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99691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09FD8" w14:textId="77777777" w:rsidR="00DB6AC6" w:rsidRPr="00E26060" w:rsidRDefault="00DB6AC6" w:rsidP="004A16DA">
            <w:pPr>
              <w:pStyle w:val="ListParagraph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Provimi final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E1063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DB6AC6" w:rsidRPr="00E26060" w14:paraId="5C36C97B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1C94F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A99B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39171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6AC6" w:rsidRPr="00E26060" w14:paraId="602F8FBC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DC598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2CAA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05879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7D5BCE76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BA9FE0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3825CF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5E34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1099ADAC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60C784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328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6E4B5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2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4C96B5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E524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E7544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DB6AC6" w:rsidRPr="00E26060" w14:paraId="72A983E6" w14:textId="77777777" w:rsidTr="004A16DA">
        <w:trPr>
          <w:trHeight w:hRule="exact" w:val="522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2A84C9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3D8F2408" w14:textId="77777777" w:rsidR="00DB6AC6" w:rsidRPr="00E26060" w:rsidRDefault="00DB6AC6" w:rsidP="00DB6A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Gjithsej ligjërata dhe ushtrime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766256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4B5490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1,2,3,4,5,6,7,9,10,11,12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BFEB1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B6AC6" w:rsidRPr="00E26060" w14:paraId="0451D0E1" w14:textId="77777777" w:rsidTr="004A16DA">
        <w:trPr>
          <w:trHeight w:hRule="exact" w:val="441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C360C8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708ABE1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5ABD46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C00F92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2C5F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55D31F05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1C6FF0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5A32D80E" w14:textId="77777777" w:rsidR="00DB6AC6" w:rsidRPr="00E26060" w:rsidRDefault="00DB6AC6" w:rsidP="00DB6A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Studimet vetjake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977E7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DDC1604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456F7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186CED38" w14:textId="77777777" w:rsidTr="004A16DA">
        <w:trPr>
          <w:trHeight w:hRule="exact" w:val="522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F59F28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58BA44F0" w14:textId="77777777" w:rsidR="00DB6AC6" w:rsidRPr="00E26060" w:rsidRDefault="00DB6AC6" w:rsidP="00DB6A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Gjithsej ligjërata dhe studime vetjake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CF39CD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8D5461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EEB39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604F3C7C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5D541C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01485CB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01A670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FF00D8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43D50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6CDCDA82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AD058E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05F0944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9753E4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1E25B5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D7121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E6DDDC5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6FB7A03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8B3D77" w14:textId="77777777" w:rsidR="00DB6AC6" w:rsidRPr="00E26060" w:rsidRDefault="00DB6AC6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C2016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BDB4E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1B08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05661298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E1A74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47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DB5165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CE5A2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DB6AC6" w:rsidRPr="00E26060" w14:paraId="587FF417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7E4051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351B1" w14:textId="77777777" w:rsidR="00DB6AC6" w:rsidRPr="00E26060" w:rsidRDefault="00DB6AC6" w:rsidP="00DB6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Klasë (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81B81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C6" w:rsidRPr="00E26060" w14:paraId="1F65DEA0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C3F6D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25453" w14:textId="77777777" w:rsidR="00DB6AC6" w:rsidRPr="00E26060" w:rsidRDefault="00DB6AC6" w:rsidP="00DB6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C9DE6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C6" w:rsidRPr="00E26060" w14:paraId="629CE7E0" w14:textId="77777777" w:rsidTr="004A16DA">
        <w:trPr>
          <w:trHeight w:hRule="exact" w:val="266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1A655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F4DF7" w14:textId="77777777" w:rsidR="00DB6AC6" w:rsidRPr="00E26060" w:rsidRDefault="00DB6AC6" w:rsidP="00DB6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14:paraId="054EEAE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956DA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5BAE066F" w14:textId="77777777" w:rsidTr="004A16DA">
        <w:trPr>
          <w:trHeight w:hRule="exact" w:val="80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78636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A36E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68A5D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A51F2C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39C36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A935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C38F0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5ED0BC16" w14:textId="77777777" w:rsidTr="004A16DA">
        <w:trPr>
          <w:trHeight w:hRule="exact" w:val="80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4DAA45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DF695B" w14:textId="77777777" w:rsidR="00DB6AC6" w:rsidRPr="00E26060" w:rsidRDefault="00DB6AC6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9BA65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F0B8766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8CC7A8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55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853B0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7296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3D344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DB6AC6" w:rsidRPr="00E26060" w14:paraId="4E0808D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56145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747F7" w14:textId="77777777" w:rsidR="00DB6AC6" w:rsidRPr="00E26060" w:rsidRDefault="00DB6AC6" w:rsidP="00DB6A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47099F6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ECF33E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6AC6" w:rsidRPr="00E26060" w14:paraId="3A646296" w14:textId="77777777" w:rsidTr="004A16DA">
        <w:trPr>
          <w:trHeight w:hRule="exact" w:val="909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477EE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C9EF0" w14:textId="77777777" w:rsidR="00DB6AC6" w:rsidRPr="00E26060" w:rsidRDefault="00DB6AC6" w:rsidP="00DB6A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Detyra</w:t>
            </w:r>
          </w:p>
          <w:p w14:paraId="24CA456A" w14:textId="77777777" w:rsidR="00DB6AC6" w:rsidRPr="00E26060" w:rsidRDefault="00DB6AC6" w:rsidP="00DB6A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  <w:p w14:paraId="7ED5C061" w14:textId="77777777" w:rsidR="00DB6AC6" w:rsidRPr="00E26060" w:rsidRDefault="00DB6AC6" w:rsidP="00DB6A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942576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1EEDB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93732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4A269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85C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33ACB1B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26E3E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27687" w14:textId="77777777" w:rsidR="00DB6AC6" w:rsidRPr="00E26060" w:rsidRDefault="00DB6AC6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EFCF" w14:textId="77777777" w:rsidR="00DB6AC6" w:rsidRPr="00E26060" w:rsidRDefault="00DB6AC6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AC1BF1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CC24CD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5F7FB696" w14:textId="77777777" w:rsidTr="004A16DA">
        <w:trPr>
          <w:trHeight w:hRule="exact" w:val="1174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2A092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F0E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Mësim ndërveprues, me forma frontale, grupore, individuale, ushtrime e seminare grupore, individuale, ushtrime e seminare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20103E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FE8D4E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C72C962" w14:textId="77777777" w:rsidTr="004A16DA">
        <w:trPr>
          <w:trHeight w:hRule="exact" w:val="711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8C7CBF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A8693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grupore, individuale, ushtrime e seminare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429916A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BC6B72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253A64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AA48DB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DC9805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C0ADB1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D429C7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1F0AF8A" w14:textId="77777777" w:rsidTr="004A16DA">
        <w:trPr>
          <w:trHeight w:val="2128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E1E32A0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91F9B" w14:textId="77777777" w:rsidR="00DB6AC6" w:rsidRPr="0094623E" w:rsidRDefault="00DB6AC6" w:rsidP="00DB6A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2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Andrew Boyd. </w:t>
            </w:r>
            <w:r w:rsidRPr="009462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“BROADCAST JOURNALISM. Techniques of Radio and Televizion News.”</w:t>
            </w:r>
            <w:r w:rsidRPr="009462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Fifth edition. Focal Press. 2001.</w:t>
            </w:r>
          </w:p>
          <w:p w14:paraId="128E6457" w14:textId="77777777" w:rsidR="00DB6AC6" w:rsidRPr="0094623E" w:rsidRDefault="00DB6AC6" w:rsidP="00DB6AC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Shaban</w:t>
            </w:r>
            <w:proofErr w:type="spellEnd"/>
            <w:r w:rsidRPr="0094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Arifaj</w:t>
            </w:r>
            <w:proofErr w:type="spellEnd"/>
            <w:r w:rsidRPr="0094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“Gjuha, zëri dhe figura në Radiotelevizion” –Prishtinë, 2016.</w:t>
            </w:r>
          </w:p>
          <w:p w14:paraId="7BAC07B6" w14:textId="77777777" w:rsidR="00DB6AC6" w:rsidRPr="0094623E" w:rsidRDefault="00DB6AC6" w:rsidP="00DB6A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E">
              <w:rPr>
                <w:rFonts w:ascii="Times New Roman" w:hAnsi="Times New Roman" w:cs="Times New Roman"/>
                <w:sz w:val="24"/>
                <w:szCs w:val="24"/>
              </w:rPr>
              <w:t>Artan Fuga, Lexime në komunikim. Ora, Tiranë, 2005.</w:t>
            </w:r>
          </w:p>
          <w:p w14:paraId="11B0D478" w14:textId="77777777" w:rsidR="00DB6AC6" w:rsidRPr="0094623E" w:rsidRDefault="00DB6AC6" w:rsidP="00DB6AC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94623E">
              <w:t xml:space="preserve">Everton N. </w:t>
            </w:r>
            <w:proofErr w:type="spellStart"/>
            <w:r w:rsidRPr="0094623E">
              <w:t>Përgatitja</w:t>
            </w:r>
            <w:proofErr w:type="spellEnd"/>
            <w:r w:rsidRPr="0094623E">
              <w:t xml:space="preserve"> e </w:t>
            </w:r>
            <w:proofErr w:type="spellStart"/>
            <w:r w:rsidRPr="0094623E">
              <w:t>lajmit</w:t>
            </w:r>
            <w:proofErr w:type="spellEnd"/>
            <w:r w:rsidRPr="0094623E">
              <w:t xml:space="preserve"> </w:t>
            </w:r>
            <w:proofErr w:type="spellStart"/>
            <w:r w:rsidRPr="0094623E">
              <w:t>televiziv</w:t>
            </w:r>
            <w:proofErr w:type="spellEnd"/>
            <w:r w:rsidRPr="0094623E">
              <w:t>. London: Reuters Foundation; 1999.</w:t>
            </w:r>
          </w:p>
          <w:p w14:paraId="47D3C31B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C6" w:rsidRPr="00E26060" w14:paraId="2191E2A6" w14:textId="77777777" w:rsidTr="004A16DA">
        <w:trPr>
          <w:trHeight w:val="584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98AF49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6D658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C75C" w14:textId="77777777" w:rsidR="00DB6AC6" w:rsidRPr="00E26060" w:rsidRDefault="00DB6AC6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5A3A">
                <w:rPr>
                  <w:rStyle w:val="Hyperlink"/>
                </w:rPr>
                <w:t>Votim.Hanolli</w:t>
              </w:r>
              <w:r w:rsidRPr="00E35A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@ubt-uni.net</w:t>
              </w:r>
            </w:hyperlink>
          </w:p>
        </w:tc>
      </w:tr>
    </w:tbl>
    <w:p w14:paraId="5BA018BF" w14:textId="77777777" w:rsidR="00CD52B1" w:rsidRDefault="00CD52B1"/>
    <w:sectPr w:rsidR="00CD52B1" w:rsidSect="005D1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18F"/>
    <w:multiLevelType w:val="hybridMultilevel"/>
    <w:tmpl w:val="129C446A"/>
    <w:lvl w:ilvl="0" w:tplc="F4D66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8566">
    <w:abstractNumId w:val="0"/>
  </w:num>
  <w:num w:numId="2" w16cid:durableId="456611068">
    <w:abstractNumId w:val="1"/>
  </w:num>
  <w:num w:numId="3" w16cid:durableId="1650012565">
    <w:abstractNumId w:val="3"/>
  </w:num>
  <w:num w:numId="4" w16cid:durableId="70117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E"/>
    <w:rsid w:val="002A304E"/>
    <w:rsid w:val="005D1E0D"/>
    <w:rsid w:val="00675C72"/>
    <w:rsid w:val="00B26203"/>
    <w:rsid w:val="00CD52B1"/>
    <w:rsid w:val="00D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487"/>
  <w15:chartTrackingRefBased/>
  <w15:docId w15:val="{35B8FBCA-8115-4B3C-B8A9-8C46B41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C6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AC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B6AC6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B6AC6"/>
    <w:rPr>
      <w:kern w:val="0"/>
      <w:lang w:val="sq-AL"/>
      <w14:ligatures w14:val="none"/>
    </w:rPr>
  </w:style>
  <w:style w:type="paragraph" w:styleId="NormalWeb">
    <w:name w:val="Normal (Web)"/>
    <w:basedOn w:val="Normal"/>
    <w:uiPriority w:val="99"/>
    <w:unhideWhenUsed/>
    <w:rsid w:val="00DB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tim.Hanoll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2024-02-08T12:00:00Z</dcterms:created>
  <dcterms:modified xsi:type="dcterms:W3CDTF">2024-02-08T12:01:00Z</dcterms:modified>
</cp:coreProperties>
</file>