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2"/>
        <w:gridCol w:w="3230"/>
        <w:gridCol w:w="1253"/>
        <w:gridCol w:w="1285"/>
        <w:gridCol w:w="1620"/>
      </w:tblGrid>
      <w:tr w:rsidR="00713B42" w:rsidRPr="00CE1E30" w14:paraId="3031F80A" w14:textId="77777777" w:rsidTr="00851DB9"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B15E4F8" w14:textId="01829052" w:rsidR="00713B42" w:rsidRPr="001B34CE" w:rsidRDefault="00851DB9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Lënda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1FDB086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C69C185" w14:textId="77777777" w:rsidR="00713B42" w:rsidRPr="00021F53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F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 </w:t>
            </w:r>
            <w:proofErr w:type="spellStart"/>
            <w:r w:rsidRPr="00021F53">
              <w:rPr>
                <w:rFonts w:ascii="Arial" w:hAnsi="Arial" w:cs="Arial"/>
                <w:b/>
                <w:iCs/>
                <w:sz w:val="20"/>
                <w:szCs w:val="20"/>
              </w:rPr>
              <w:t>drejta</w:t>
            </w:r>
            <w:proofErr w:type="spellEnd"/>
            <w:r w:rsidRPr="00021F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b/>
                <w:iCs/>
                <w:sz w:val="20"/>
                <w:szCs w:val="20"/>
              </w:rPr>
              <w:t>penale</w:t>
            </w:r>
            <w:proofErr w:type="spellEnd"/>
            <w:r w:rsidRPr="00021F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 </w:t>
            </w:r>
            <w:proofErr w:type="spellStart"/>
            <w:r w:rsidRPr="00021F53">
              <w:rPr>
                <w:rFonts w:ascii="Arial" w:hAnsi="Arial" w:cs="Arial"/>
                <w:b/>
                <w:iCs/>
                <w:sz w:val="20"/>
                <w:szCs w:val="20"/>
              </w:rPr>
              <w:t>avancuar</w:t>
            </w:r>
            <w:proofErr w:type="spellEnd"/>
          </w:p>
        </w:tc>
      </w:tr>
      <w:tr w:rsidR="00713B42" w:rsidRPr="001B34CE" w14:paraId="0E424A78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80560B1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515B1D99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Lloji</w:t>
            </w:r>
            <w:proofErr w:type="spellEnd"/>
          </w:p>
          <w:p w14:paraId="2F8B525F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E3CD8C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4512ED4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497E52FB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Kodi</w:t>
            </w:r>
            <w:proofErr w:type="spellEnd"/>
          </w:p>
        </w:tc>
      </w:tr>
      <w:tr w:rsidR="00713B42" w:rsidRPr="001B34CE" w14:paraId="0974D54C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02F848F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FD26CF" w14:textId="6FD2727D" w:rsidR="00713B42" w:rsidRPr="001B34CE" w:rsidRDefault="00851DB9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OBLIGATIVE</w:t>
            </w:r>
            <w:r w:rsidR="00713B42" w:rsidRPr="004A6E7A">
              <w:rPr>
                <w:rFonts w:ascii="Arial" w:hAnsi="Arial" w:cs="Arial"/>
                <w:color w:val="404040"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O)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FC6AA44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37ECF16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2DB7DC6" w14:textId="04694A00" w:rsidR="00713B42" w:rsidRPr="001B34CE" w:rsidRDefault="0016637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CLP-</w:t>
            </w:r>
            <w:r w:rsidR="00851DB9">
              <w:rPr>
                <w:rFonts w:ascii="Arial" w:hAnsi="Arial" w:cs="Arial"/>
                <w:color w:val="404040"/>
                <w:sz w:val="17"/>
                <w:szCs w:val="17"/>
              </w:rPr>
              <w:t>O</w:t>
            </w:r>
            <w:r w:rsidR="00713B42">
              <w:rPr>
                <w:rFonts w:ascii="Arial" w:hAnsi="Arial" w:cs="Arial"/>
                <w:color w:val="404040"/>
                <w:sz w:val="17"/>
                <w:szCs w:val="17"/>
              </w:rPr>
              <w:t>-1-001</w:t>
            </w:r>
          </w:p>
        </w:tc>
      </w:tr>
      <w:tr w:rsidR="00851DB9" w:rsidRPr="00F50C4F" w14:paraId="4A5E7712" w14:textId="77777777" w:rsidTr="00851DB9">
        <w:trPr>
          <w:trHeight w:hRule="exact" w:val="523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2277935" w14:textId="257E0762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Ligjëruesi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1F61D3BA" w14:textId="77777777" w:rsidR="00851DB9" w:rsidRDefault="00851DB9" w:rsidP="00851D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44883" w14:textId="52F76065" w:rsidR="00851DB9" w:rsidRPr="00021F53" w:rsidRDefault="00851DB9" w:rsidP="00851D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18"/>
                <w:szCs w:val="18"/>
              </w:rPr>
              <w:t>Profesor</w:t>
            </w:r>
            <w:proofErr w:type="spellEnd"/>
            <w:r w:rsidRPr="00851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851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8"/>
                <w:szCs w:val="18"/>
              </w:rPr>
              <w:t>Asociuar</w:t>
            </w:r>
            <w:proofErr w:type="spellEnd"/>
            <w:r w:rsidRPr="00851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b/>
                <w:sz w:val="18"/>
                <w:szCs w:val="18"/>
              </w:rPr>
              <w:t>Dr.Ahmet</w:t>
            </w:r>
            <w:proofErr w:type="spellEnd"/>
            <w:r w:rsidRPr="00021F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b/>
                <w:sz w:val="18"/>
                <w:szCs w:val="18"/>
              </w:rPr>
              <w:t>Maloku</w:t>
            </w:r>
            <w:proofErr w:type="spellEnd"/>
            <w:r w:rsidRPr="00021F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51DB9" w:rsidRPr="00F50C4F" w14:paraId="74E4E4B5" w14:textId="77777777" w:rsidTr="00851DB9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50AD132" w14:textId="39771F91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Asistenti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B0834F8" w14:textId="77777777" w:rsidR="00851DB9" w:rsidRPr="00F50C4F" w:rsidRDefault="00851DB9" w:rsidP="00851DB9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851DB9" w:rsidRPr="00F50C4F" w14:paraId="4406E26B" w14:textId="77777777" w:rsidTr="00851DB9">
        <w:trPr>
          <w:trHeight w:hRule="exact" w:val="252"/>
        </w:trPr>
        <w:tc>
          <w:tcPr>
            <w:tcW w:w="196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0C26F310" w14:textId="494F3D6B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Tutori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851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D47514D" w14:textId="77777777" w:rsidR="00851DB9" w:rsidRPr="00F50C4F" w:rsidRDefault="00851DB9" w:rsidP="00851DB9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713B42" w:rsidRPr="00AE3BE3" w14:paraId="446ECE2A" w14:textId="77777777" w:rsidTr="00851DB9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57290ED7" w14:textId="77777777" w:rsidR="00713B42" w:rsidRPr="00DD5C62" w:rsidRDefault="00713B42" w:rsidP="00021F5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D5C62">
              <w:rPr>
                <w:rFonts w:ascii="Arial" w:hAnsi="Arial" w:cs="Arial"/>
                <w:b/>
                <w:sz w:val="18"/>
                <w:szCs w:val="18"/>
              </w:rPr>
              <w:t>Qëllimet</w:t>
            </w:r>
            <w:proofErr w:type="spellEnd"/>
            <w:r w:rsidRPr="00DD5C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5C62">
              <w:rPr>
                <w:rFonts w:ascii="Arial" w:hAnsi="Arial" w:cs="Arial"/>
                <w:b/>
                <w:sz w:val="18"/>
                <w:szCs w:val="18"/>
              </w:rPr>
              <w:t>dhe</w:t>
            </w:r>
            <w:proofErr w:type="spellEnd"/>
            <w:r w:rsidRPr="00DD5C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5C62">
              <w:rPr>
                <w:rFonts w:ascii="Arial" w:hAnsi="Arial" w:cs="Arial"/>
                <w:b/>
                <w:sz w:val="18"/>
                <w:szCs w:val="18"/>
              </w:rPr>
              <w:t>objektivat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D2B447E" w14:textId="3EBAF77A" w:rsidR="00713B42" w:rsidRPr="00021F53" w:rsidRDefault="00713B42" w:rsidP="00B45D2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F53">
              <w:rPr>
                <w:rFonts w:ascii="Arial" w:hAnsi="Arial" w:cs="Arial"/>
                <w:sz w:val="18"/>
                <w:szCs w:val="18"/>
              </w:rPr>
              <w:t xml:space="preserve">Ky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kurs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hulumton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konceptet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avancuara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750E2">
              <w:rPr>
                <w:rFonts w:ascii="Arial" w:hAnsi="Arial" w:cs="Arial"/>
                <w:sz w:val="18"/>
                <w:szCs w:val="18"/>
              </w:rPr>
              <w:t>t</w:t>
            </w:r>
            <w:r w:rsidRPr="00021F53">
              <w:rPr>
                <w:rFonts w:ascii="Arial" w:hAnsi="Arial" w:cs="Arial"/>
                <w:sz w:val="18"/>
                <w:szCs w:val="18"/>
              </w:rPr>
              <w:t>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750E2">
              <w:rPr>
                <w:rFonts w:ascii="Arial" w:hAnsi="Arial" w:cs="Arial"/>
                <w:sz w:val="18"/>
                <w:szCs w:val="18"/>
              </w:rPr>
              <w:t>s</w:t>
            </w:r>
            <w:r w:rsidRPr="00021F53">
              <w:rPr>
                <w:rFonts w:ascii="Arial" w:hAnsi="Arial" w:cs="Arial"/>
                <w:sz w:val="18"/>
                <w:szCs w:val="18"/>
              </w:rPr>
              <w:t>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drejtë</w:t>
            </w:r>
            <w:r w:rsidR="001750E2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kuadër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kornizës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Qëllimet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objektivat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EF6F50" w14:textId="77777777" w:rsidR="00713B42" w:rsidRPr="00021F53" w:rsidRDefault="00713B42" w:rsidP="00713B4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T'u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ofrojë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studentëve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kuptim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avancuar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parimeve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doktrinave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drejtës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kuadër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sistemit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juridik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8E2C39" w14:textId="77777777" w:rsidR="00713B42" w:rsidRPr="00021F53" w:rsidRDefault="00713B42" w:rsidP="00713B4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eksploruar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kompleksitetin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përgjegjësisë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mbrojtjes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shkeljeve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thelbësore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me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fokus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aplikimin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e tyre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skenarët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botës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reale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437096" w14:textId="77777777" w:rsidR="00713B42" w:rsidRPr="00021F53" w:rsidRDefault="00713B42" w:rsidP="00713B4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analizojë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vlerësojë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aspektet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procedurale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drejtës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arrestimin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hetimin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procedurat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gjykimit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dënimin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42D0EF" w14:textId="77777777" w:rsidR="00713B42" w:rsidRPr="00021F53" w:rsidRDefault="00713B42" w:rsidP="00713B4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shqyrtuar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reja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specializuara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drejtën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tilla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krimi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kibernetik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terrorizmi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krimet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transnacionale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561B45" w14:textId="77777777" w:rsidR="00713B42" w:rsidRDefault="00713B42" w:rsidP="00713B4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nxisë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mendimin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kritik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aftësitë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kërkimit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, duke u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mundësuar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studentëve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angazhohen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çështjet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zhvillimet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bashkëkohore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drejtën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F5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021F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60F39F" w14:textId="77777777" w:rsidR="00713B42" w:rsidRPr="00021F53" w:rsidRDefault="00713B42" w:rsidP="00B45D2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Këto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qëllime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objektiva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kontribuojnë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qëllimin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përgjithshëm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t'u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ofruar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studentëve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themel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fuqishëm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drejtën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avancuar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përgatitjen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e tyre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praktikë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apo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ndjekje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mëtejshme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akademike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këtë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8"/>
                <w:szCs w:val="18"/>
              </w:rPr>
              <w:t>fushë</w:t>
            </w:r>
            <w:proofErr w:type="spellEnd"/>
            <w:r w:rsidRPr="00B45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3B42" w:rsidRPr="00AE3BE3" w14:paraId="329A1007" w14:textId="77777777" w:rsidTr="00851DB9">
        <w:trPr>
          <w:trHeight w:val="2492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9E7EBF6" w14:textId="402122FD" w:rsidR="00713B42" w:rsidRPr="001B34CE" w:rsidRDefault="00851DB9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Rezulatet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nxënit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15419E2" w14:textId="77777777" w:rsidR="00713B42" w:rsidRPr="00AE3BE3" w:rsidRDefault="00713B42" w:rsidP="00491A50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12719A98" w14:textId="77777777" w:rsidR="00713B42" w:rsidRPr="00B45D27" w:rsidRDefault="00713B42" w:rsidP="00B45D27">
            <w:p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45D27">
              <w:rPr>
                <w:rFonts w:ascii="Arial" w:hAnsi="Arial" w:cs="Arial"/>
                <w:sz w:val="17"/>
                <w:szCs w:val="17"/>
              </w:rPr>
              <w:t xml:space="preserve">Pas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përfundimit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suksesshëm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kursit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studentët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duhet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jenë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gjendje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2B446222" w14:textId="77777777" w:rsidR="00713B42" w:rsidRPr="00B45D27" w:rsidRDefault="00713B42" w:rsidP="00B45D27">
            <w:pPr>
              <w:spacing w:after="0" w:line="276" w:lineRule="auto"/>
              <w:ind w:left="45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9757812" w14:textId="4DB7A245" w:rsidR="00713B42" w:rsidRPr="00B45D27" w:rsidRDefault="00713B42" w:rsidP="00713B4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Njohuri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mirëkuptim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Demonstro</w:t>
            </w:r>
            <w:r w:rsidR="005C30E1">
              <w:rPr>
                <w:rFonts w:ascii="Arial" w:hAnsi="Arial" w:cs="Arial"/>
                <w:sz w:val="17"/>
                <w:szCs w:val="17"/>
              </w:rPr>
              <w:t>jn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kuptim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gjithëpërfshirës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sistemit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burimeve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tij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marrëdhënieve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tij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drejtën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ndërkombëtare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;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Identifikoni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shpjegoni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parimet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kryesore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përgjegjësisë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mbrojtjes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shkeljeve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thelbësore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Kosovë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A8C3833" w14:textId="77777777" w:rsidR="00713B42" w:rsidRPr="00B45D27" w:rsidRDefault="00713B42" w:rsidP="00713B4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Aplikimi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Njohurive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Zbatoni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parimet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analizuar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zgjidhur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çështje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ndërlikuara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që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lidhen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drejtën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Kosovë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;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Vlerësoni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aspektet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procedurale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çështjeve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propozoni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strategjitë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përshtatshme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054BCBD" w14:textId="77777777" w:rsidR="00713B42" w:rsidRPr="00B45D27" w:rsidRDefault="00713B42" w:rsidP="00713B4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Mendimi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kritik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Vlerësoni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mënyrë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kritike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implikimet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etike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vendimeve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drejtës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përputhjen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tyre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parimet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drejtave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njeriut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;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Analizoni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krahasoni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këndvështrime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ndryshme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çështjet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reja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drejtën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DD9920D" w14:textId="77777777" w:rsidR="00713B42" w:rsidRPr="00B45D27" w:rsidRDefault="00713B42" w:rsidP="00713B4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Aftësitë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kërkimore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Kryen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hulumtime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pavarura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tema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relevante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drejtën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;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Sintetizoni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informacionin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nga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statutet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jurisprudenca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burimet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shkencore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mbështetur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argumentet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EC4CC13" w14:textId="77777777" w:rsidR="00713B42" w:rsidRPr="00B45D27" w:rsidRDefault="00713B42" w:rsidP="00713B4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Aftësitë</w:t>
            </w:r>
            <w:proofErr w:type="spellEnd"/>
            <w:r w:rsidRPr="00B45D2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b/>
                <w:sz w:val="17"/>
                <w:szCs w:val="17"/>
              </w:rPr>
              <w:t>komunikuese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Artikuloni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argumentet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mënyrë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qartë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bindëse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formatin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gojor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ashtu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edhe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shkruar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angazhohen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diskutime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konstruktive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çështje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ndërlikuara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, duke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demonstruar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aftësi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efektshme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5D27">
              <w:rPr>
                <w:rFonts w:ascii="Arial" w:hAnsi="Arial" w:cs="Arial"/>
                <w:sz w:val="17"/>
                <w:szCs w:val="17"/>
              </w:rPr>
              <w:t>komunikimi</w:t>
            </w:r>
            <w:proofErr w:type="spellEnd"/>
            <w:r w:rsidRPr="00B45D2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7B76B3E" w14:textId="77777777" w:rsidR="00713B42" w:rsidRPr="00B45D27" w:rsidRDefault="00713B42" w:rsidP="00713B4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83CFB">
              <w:rPr>
                <w:rFonts w:ascii="Arial" w:hAnsi="Arial" w:cs="Arial"/>
                <w:b/>
                <w:sz w:val="17"/>
                <w:szCs w:val="17"/>
              </w:rPr>
              <w:t>Hartimi</w:t>
            </w:r>
            <w:proofErr w:type="spellEnd"/>
            <w:r w:rsidRPr="00E83CF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E83CF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b/>
                <w:sz w:val="17"/>
                <w:szCs w:val="17"/>
              </w:rPr>
              <w:t>akteve</w:t>
            </w:r>
            <w:proofErr w:type="spellEnd"/>
            <w:r w:rsidRPr="00E83CF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b/>
                <w:sz w:val="17"/>
                <w:szCs w:val="17"/>
              </w:rPr>
              <w:t>ligjore</w:t>
            </w:r>
            <w:proofErr w:type="spellEnd"/>
            <w:r w:rsidRPr="00E83CF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sz w:val="17"/>
                <w:szCs w:val="17"/>
              </w:rPr>
              <w:t>nga</w:t>
            </w:r>
            <w:proofErr w:type="spellEnd"/>
            <w:r w:rsidRPr="00E83CF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sz w:val="17"/>
                <w:szCs w:val="17"/>
              </w:rPr>
              <w:t>fusha</w:t>
            </w:r>
            <w:proofErr w:type="spellEnd"/>
            <w:r w:rsidRPr="00E83CFB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83CFB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Pr="00E83CF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sz w:val="17"/>
                <w:szCs w:val="17"/>
              </w:rPr>
              <w:t>drejtës</w:t>
            </w:r>
            <w:proofErr w:type="spellEnd"/>
            <w:r w:rsidRPr="00E83CF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3CFB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E83CF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13B42" w:rsidRPr="001B34CE" w14:paraId="19B9A5FD" w14:textId="77777777" w:rsidTr="00851DB9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B65A299" w14:textId="4B578C80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Përmbajtja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="00851DB9" w:rsidRPr="00851DB9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51BC16A" w14:textId="75D049DA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851DB9">
              <w:rPr>
                <w:rFonts w:ascii="Arial" w:hAnsi="Arial" w:cs="Arial"/>
                <w:b/>
                <w:sz w:val="17"/>
                <w:szCs w:val="17"/>
              </w:rPr>
              <w:t>javor</w:t>
            </w:r>
            <w:proofErr w:type="spellEnd"/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4D7E6AE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713B42" w:rsidRPr="001B34CE" w14:paraId="376624C0" w14:textId="77777777" w:rsidTr="00851DB9">
        <w:trPr>
          <w:trHeight w:hRule="exact" w:val="297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221894B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CC66E" w14:textId="77777777" w:rsidR="00713B42" w:rsidRPr="00F2720B" w:rsidRDefault="00713B42" w:rsidP="005E1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Njoftim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programin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përmbajtjen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kursit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8754F0B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713B42" w:rsidRPr="001B34CE" w14:paraId="70D9C009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49CA5BA" w14:textId="77777777" w:rsidR="00713B42" w:rsidRPr="001B34CE" w:rsidRDefault="00713B42" w:rsidP="00F272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EB173" w14:textId="77777777" w:rsidR="00713B42" w:rsidRPr="00F2720B" w:rsidRDefault="00713B42" w:rsidP="00F2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Hyrje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Drejtën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3A83A9" w14:textId="77777777" w:rsidR="00713B42" w:rsidRPr="001B67AD" w:rsidRDefault="00713B42" w:rsidP="00F272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713B42" w:rsidRPr="001B34CE" w14:paraId="0EF23EAC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CA90AB5" w14:textId="77777777" w:rsidR="00713B42" w:rsidRPr="001B34CE" w:rsidRDefault="00713B42" w:rsidP="00F272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CC242" w14:textId="77777777" w:rsidR="00713B42" w:rsidRPr="00F2720B" w:rsidRDefault="00713B42" w:rsidP="00F27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Parimet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përgjegjësisë</w:t>
            </w:r>
            <w:proofErr w:type="spellEnd"/>
            <w:r w:rsidRPr="00F272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085253D" w14:textId="77777777" w:rsidR="00713B42" w:rsidRPr="001B67AD" w:rsidRDefault="00713B42" w:rsidP="00F272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713B42" w:rsidRPr="001B34CE" w14:paraId="2AE53AD9" w14:textId="77777777" w:rsidTr="00851DB9">
        <w:trPr>
          <w:trHeight w:hRule="exact" w:val="25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E5B1816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7F3E7" w14:textId="2D3E14CB" w:rsidR="00713B42" w:rsidRPr="001B67AD" w:rsidRDefault="00713B42" w:rsidP="00E87D5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Baza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224D9">
              <w:rPr>
                <w:rFonts w:ascii="Arial" w:hAnsi="Arial" w:cs="Arial"/>
                <w:sz w:val="17"/>
                <w:szCs w:val="17"/>
              </w:rPr>
              <w:t xml:space="preserve">e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përgjithshme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posaçme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që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përjashtojnë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paligjshmërinë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7149001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713B42" w:rsidRPr="001B34CE" w14:paraId="083FF0FE" w14:textId="77777777" w:rsidTr="00851DB9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70F716C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F06DC" w14:textId="77777777" w:rsidR="00713B42" w:rsidRPr="001B67AD" w:rsidRDefault="00713B42" w:rsidP="00E87D5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Fazat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kryerjes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veprës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3722D4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713B42" w:rsidRPr="001B34CE" w14:paraId="729640BE" w14:textId="77777777" w:rsidTr="00851DB9">
        <w:trPr>
          <w:trHeight w:hRule="exact" w:val="261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80CE8D0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C314E" w14:textId="77777777" w:rsidR="00713B42" w:rsidRPr="001B67AD" w:rsidRDefault="00713B42" w:rsidP="00E67D2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Bashkimi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veprave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F2720B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F2720B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00C4A97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713B42" w:rsidRPr="001B34CE" w14:paraId="779D7F5F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93EBA94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88320" w14:textId="77777777" w:rsidR="00713B42" w:rsidRPr="001B67AD" w:rsidRDefault="00713B42" w:rsidP="00602A1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51429">
              <w:rPr>
                <w:rFonts w:ascii="Arial" w:hAnsi="Arial" w:cs="Arial"/>
                <w:sz w:val="17"/>
                <w:szCs w:val="17"/>
              </w:rPr>
              <w:t>Sanksionet</w:t>
            </w:r>
            <w:proofErr w:type="spellEnd"/>
            <w:r w:rsidRPr="0075142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5142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51429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751429">
              <w:rPr>
                <w:rFonts w:ascii="Arial" w:hAnsi="Arial" w:cs="Arial"/>
                <w:sz w:val="17"/>
                <w:szCs w:val="17"/>
              </w:rPr>
              <w:t>përcaktimi</w:t>
            </w:r>
            <w:proofErr w:type="spellEnd"/>
            <w:r w:rsidRPr="0075142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5142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5142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51429">
              <w:rPr>
                <w:rFonts w:ascii="Arial" w:hAnsi="Arial" w:cs="Arial"/>
                <w:sz w:val="17"/>
                <w:szCs w:val="17"/>
              </w:rPr>
              <w:t>karakteristikat</w:t>
            </w:r>
            <w:proofErr w:type="spellEnd"/>
            <w:r w:rsidRPr="0075142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51429">
              <w:rPr>
                <w:rFonts w:ascii="Arial" w:hAnsi="Arial" w:cs="Arial"/>
                <w:sz w:val="17"/>
                <w:szCs w:val="17"/>
              </w:rPr>
              <w:t>tyre</w:t>
            </w:r>
            <w:proofErr w:type="spellEnd"/>
            <w:r w:rsidRPr="00751429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E1B47C6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713B42" w:rsidRPr="001B34CE" w14:paraId="12C36416" w14:textId="77777777" w:rsidTr="00851DB9">
        <w:trPr>
          <w:trHeight w:hRule="exact" w:val="45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02C56DF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D907C" w14:textId="77777777" w:rsidR="00713B42" w:rsidRPr="001B67AD" w:rsidRDefault="00713B42" w:rsidP="00A2718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Matja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dënimit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përkufizimi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dënimit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nëntipet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matjes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dënimit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36CDF67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713B42" w:rsidRPr="001B34CE" w14:paraId="1A8285DF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CE36885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DAFEC" w14:textId="77777777" w:rsidR="00713B42" w:rsidRPr="001B67AD" w:rsidRDefault="00713B42" w:rsidP="00223B6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Dënimet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alternative (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përkufizimi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qëllimi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5922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C75922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2C2E971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713B42" w:rsidRPr="001B34CE" w14:paraId="1693F7EB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C566C1E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E85E7" w14:textId="6868886E" w:rsidR="00713B42" w:rsidRPr="001B67AD" w:rsidRDefault="00713B42" w:rsidP="00491A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Dënime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224D9">
              <w:rPr>
                <w:rFonts w:ascii="Arial" w:hAnsi="Arial" w:cs="Arial"/>
                <w:sz w:val="17"/>
                <w:szCs w:val="17"/>
              </w:rPr>
              <w:t>plot</w:t>
            </w:r>
            <w:r w:rsidRPr="00CB77C3">
              <w:rPr>
                <w:rFonts w:ascii="Arial" w:hAnsi="Arial" w:cs="Arial"/>
                <w:sz w:val="17"/>
                <w:szCs w:val="17"/>
              </w:rPr>
              <w:t>ë</w:t>
            </w:r>
            <w:r w:rsidR="008224D9">
              <w:rPr>
                <w:rFonts w:ascii="Arial" w:hAnsi="Arial" w:cs="Arial"/>
                <w:sz w:val="17"/>
                <w:szCs w:val="17"/>
              </w:rPr>
              <w:t>suese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përkufizimi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qëllimi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tyre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2E3C1F1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713B42" w:rsidRPr="001B34CE" w14:paraId="6B2D801E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59AC325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D34F0" w14:textId="074F5F18" w:rsidR="00713B42" w:rsidRPr="001B67AD" w:rsidRDefault="00713B42" w:rsidP="00491A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Masat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8224D9">
              <w:rPr>
                <w:rFonts w:ascii="Arial" w:hAnsi="Arial" w:cs="Arial"/>
                <w:sz w:val="17"/>
                <w:szCs w:val="17"/>
              </w:rPr>
              <w:t>trajtimit</w:t>
            </w:r>
            <w:proofErr w:type="spellEnd"/>
            <w:r w:rsidR="008224D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224D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8224D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detyruesh</w:t>
            </w:r>
            <w:r w:rsidR="008224D9">
              <w:rPr>
                <w:rFonts w:ascii="Arial" w:hAnsi="Arial" w:cs="Arial"/>
                <w:sz w:val="17"/>
                <w:szCs w:val="17"/>
              </w:rPr>
              <w:t>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24B481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713B42" w:rsidRPr="001B34CE" w14:paraId="77CBAFEB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B98F523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10B78" w14:textId="77777777" w:rsidR="00713B42" w:rsidRPr="001B67AD" w:rsidRDefault="00713B42" w:rsidP="00491A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Shuarja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sanksioneve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21C693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713B42" w:rsidRPr="001B34CE" w14:paraId="723ACA12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C28C541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2442" w14:textId="77777777" w:rsidR="00713B42" w:rsidRPr="001B67AD" w:rsidRDefault="00713B42" w:rsidP="00B539B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Sanksione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kundër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CB77C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B77C3">
              <w:rPr>
                <w:rFonts w:ascii="Arial" w:hAnsi="Arial" w:cs="Arial"/>
                <w:sz w:val="17"/>
                <w:szCs w:val="17"/>
              </w:rPr>
              <w:t>miturve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C8FC30E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713B42" w:rsidRPr="001B34CE" w14:paraId="02F332EE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4671A83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0E4BE" w14:textId="77777777" w:rsidR="00713B42" w:rsidRPr="001B67AD" w:rsidRDefault="00713B42" w:rsidP="00491A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D2999">
              <w:rPr>
                <w:rFonts w:ascii="Arial" w:hAnsi="Arial" w:cs="Arial"/>
                <w:sz w:val="17"/>
                <w:szCs w:val="17"/>
              </w:rPr>
              <w:t>Prezantimi</w:t>
            </w:r>
            <w:proofErr w:type="spellEnd"/>
            <w:r w:rsidRPr="000D299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D2999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0D299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D2999">
              <w:rPr>
                <w:rFonts w:ascii="Arial" w:hAnsi="Arial" w:cs="Arial"/>
                <w:sz w:val="17"/>
                <w:szCs w:val="17"/>
              </w:rPr>
              <w:t>projektit</w:t>
            </w:r>
            <w:proofErr w:type="spellEnd"/>
            <w:r w:rsidRPr="000D299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D2999">
              <w:rPr>
                <w:rFonts w:ascii="Arial" w:hAnsi="Arial" w:cs="Arial"/>
                <w:sz w:val="17"/>
                <w:szCs w:val="17"/>
              </w:rPr>
              <w:t>kërkimor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03F5A3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713B42" w:rsidRPr="001B34CE" w14:paraId="79F4FE5D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6F5773A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1EBD0B3" w14:textId="021704AF" w:rsidR="00713B42" w:rsidRPr="001B67AD" w:rsidRDefault="008224D9" w:rsidP="00491A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Provimi</w:t>
            </w:r>
            <w:proofErr w:type="spellEnd"/>
            <w:r w:rsidR="00713B42" w:rsidRPr="001B67A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3B42" w:rsidRPr="001B67AD">
              <w:rPr>
                <w:rFonts w:ascii="Arial" w:hAnsi="Arial" w:cs="Arial"/>
                <w:sz w:val="17"/>
                <w:szCs w:val="17"/>
              </w:rPr>
              <w:t>përfundimtar-Studimi</w:t>
            </w:r>
            <w:proofErr w:type="spellEnd"/>
            <w:r w:rsidR="00713B42" w:rsidRPr="001B67A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3B42" w:rsidRPr="001B67AD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713B42" w:rsidRPr="001B67A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3B42" w:rsidRPr="001B67AD">
              <w:rPr>
                <w:rFonts w:ascii="Arial" w:hAnsi="Arial" w:cs="Arial"/>
                <w:sz w:val="17"/>
                <w:szCs w:val="17"/>
              </w:rPr>
              <w:t>rastit</w:t>
            </w:r>
            <w:proofErr w:type="spellEnd"/>
            <w:r w:rsidR="00713B42" w:rsidRPr="001B67A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EB251B2" w14:textId="77777777" w:rsidR="00713B42" w:rsidRPr="001B67AD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67AD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713B42" w:rsidRPr="001B34CE" w14:paraId="25FE4D9C" w14:textId="77777777" w:rsidTr="00851DB9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6CF3AC8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0EF462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C21264" w14:textId="5FB313E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mësimdhënie</w:t>
            </w:r>
            <w:r w:rsidR="00851DB9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7486869" w14:textId="7B4126E6" w:rsidR="00713B42" w:rsidRPr="001B34CE" w:rsidRDefault="00851DB9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Aktivitetet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713B42" w:rsidRPr="001B34CE">
              <w:rPr>
                <w:rFonts w:ascii="Arial" w:hAnsi="Arial" w:cs="Arial"/>
                <w:b/>
                <w:sz w:val="17"/>
                <w:szCs w:val="17"/>
              </w:rPr>
              <w:t>mësimor</w:t>
            </w:r>
            <w:r>
              <w:rPr>
                <w:rFonts w:ascii="Arial" w:hAnsi="Arial" w:cs="Arial"/>
                <w:b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FDA5511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13B42" w:rsidRPr="001B34CE" w14:paraId="00953DA4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7F42AD2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B8943" w14:textId="5517F102" w:rsidR="00713B42" w:rsidRPr="001B34CE" w:rsidRDefault="00713B42" w:rsidP="00713B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</w:t>
            </w:r>
            <w:r w:rsidR="008D0BF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igjerata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46DBA6B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25%</w:t>
            </w:r>
          </w:p>
        </w:tc>
      </w:tr>
      <w:tr w:rsidR="00713B42" w:rsidRPr="001B34CE" w14:paraId="37FE2528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86A7AD7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78823" w14:textId="1285AA34" w:rsidR="00713B42" w:rsidRPr="001B34CE" w:rsidRDefault="00713B42" w:rsidP="00713B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E2E79A9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12%</w:t>
            </w:r>
          </w:p>
        </w:tc>
      </w:tr>
      <w:tr w:rsidR="00713B42" w:rsidRPr="001B34CE" w14:paraId="1E953526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BE4446D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1DBB7" w14:textId="77777777" w:rsidR="00713B42" w:rsidRPr="001B34CE" w:rsidRDefault="00713B42" w:rsidP="00713B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rasteve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0F6FEAF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22%</w:t>
            </w:r>
          </w:p>
        </w:tc>
      </w:tr>
      <w:tr w:rsidR="00713B42" w:rsidRPr="001B34CE" w14:paraId="1B64617E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D24C7C6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0DB85" w14:textId="7FF7DE5B" w:rsidR="00713B42" w:rsidRDefault="008D0BF6" w:rsidP="00713B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Rishikimi</w:t>
            </w:r>
            <w:proofErr w:type="spellEnd"/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kritik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CC264B9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7.5 %</w:t>
            </w:r>
          </w:p>
          <w:p w14:paraId="189EB3CC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13B42" w:rsidRPr="001B34CE" w14:paraId="7F11E71B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4FCE414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6D425" w14:textId="77777777" w:rsidR="00713B42" w:rsidRDefault="00713B42" w:rsidP="00713B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Opinioni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ligjor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AC55319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12.5 %</w:t>
            </w:r>
          </w:p>
        </w:tc>
      </w:tr>
      <w:tr w:rsidR="00713B42" w:rsidRPr="001B34CE" w14:paraId="1503DA86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CDBEEEB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98DCE" w14:textId="77777777" w:rsidR="00713B42" w:rsidRPr="001B34CE" w:rsidRDefault="00713B42" w:rsidP="00713B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Kërkime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871E8FD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20%</w:t>
            </w:r>
          </w:p>
        </w:tc>
      </w:tr>
      <w:tr w:rsidR="00713B42" w:rsidRPr="001B34CE" w14:paraId="3D430885" w14:textId="77777777" w:rsidTr="00851DB9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FE30B63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323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438C475" w14:textId="1A385F44" w:rsidR="00713B42" w:rsidRPr="001B34CE" w:rsidRDefault="00851DB9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="00713B42"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="00713B42" w:rsidRPr="001B34CE"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125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0D5A123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  <w:tc>
          <w:tcPr>
            <w:tcW w:w="128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E936D05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38CA2039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13B42" w:rsidRPr="006712C5" w14:paraId="0318022F" w14:textId="77777777" w:rsidTr="00851DB9">
        <w:trPr>
          <w:trHeight w:hRule="exact" w:val="43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FAA99AD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5ED66700" w14:textId="77777777" w:rsidR="00713B42" w:rsidRPr="006712C5" w:rsidRDefault="00713B42" w:rsidP="00713B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>Kërkime</w:t>
            </w:r>
            <w:proofErr w:type="spellEnd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>krahasuese</w:t>
            </w:r>
            <w:proofErr w:type="spellEnd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>individuale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23A4D14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1ABEF8C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C11D4A7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30 %</w:t>
            </w:r>
          </w:p>
        </w:tc>
      </w:tr>
      <w:tr w:rsidR="00713B42" w:rsidRPr="006712C5" w14:paraId="4848BD43" w14:textId="77777777" w:rsidTr="00851DB9">
        <w:trPr>
          <w:trHeight w:hRule="exact" w:val="477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B186DC3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03379D86" w14:textId="6C6EF7A8" w:rsidR="00713B42" w:rsidRPr="006712C5" w:rsidRDefault="00713B42" w:rsidP="00713B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Studimi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rasteve</w:t>
            </w:r>
            <w:proofErr w:type="spellEnd"/>
            <w:r w:rsidR="00851DB9">
              <w:rPr>
                <w:rFonts w:ascii="Arial" w:hAnsi="Arial" w:cs="Arial"/>
                <w:sz w:val="17"/>
                <w:szCs w:val="17"/>
                <w:lang w:eastAsia="en-US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851DB9">
              <w:rPr>
                <w:rFonts w:ascii="Arial" w:hAnsi="Arial" w:cs="Arial"/>
                <w:sz w:val="17"/>
                <w:szCs w:val="17"/>
                <w:lang w:eastAsia="en-US"/>
              </w:rPr>
              <w:t>Provimi</w:t>
            </w:r>
            <w:proofErr w:type="spellEnd"/>
            <w:r w:rsidR="00851DB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përfundimtar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7A2D355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C921975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BE7631A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40 %</w:t>
            </w:r>
          </w:p>
          <w:p w14:paraId="56D1C393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B42" w:rsidRPr="006712C5" w14:paraId="6ADCAE56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9918B88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4FA2B23A" w14:textId="77777777" w:rsidR="00713B42" w:rsidRPr="006712C5" w:rsidRDefault="00713B42" w:rsidP="00713B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>Pjesëmarrja</w:t>
            </w:r>
            <w:proofErr w:type="spellEnd"/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F9C4266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8AC090A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 xml:space="preserve">1-15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E39123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10 %</w:t>
            </w:r>
          </w:p>
          <w:p w14:paraId="2743B0A7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B42" w:rsidRPr="006712C5" w14:paraId="1D2F5808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F1917DF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70B59EF3" w14:textId="1162CC70" w:rsidR="00713B42" w:rsidRPr="006712C5" w:rsidRDefault="008D0BF6" w:rsidP="00713B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Rishikimi</w:t>
            </w:r>
            <w:proofErr w:type="spellEnd"/>
            <w:r w:rsidR="00713B42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13B42">
              <w:rPr>
                <w:rFonts w:ascii="Arial" w:hAnsi="Arial" w:cs="Arial"/>
                <w:sz w:val="17"/>
                <w:szCs w:val="17"/>
                <w:lang w:eastAsia="en-US"/>
              </w:rPr>
              <w:t>kritik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29FC16C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5CC0A80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FBBA82B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7.5 %</w:t>
            </w:r>
          </w:p>
        </w:tc>
      </w:tr>
      <w:tr w:rsidR="00713B42" w:rsidRPr="006712C5" w14:paraId="3181D831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C50FFA7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0A6C6DDB" w14:textId="77777777" w:rsidR="00713B42" w:rsidRPr="006712C5" w:rsidRDefault="00713B42" w:rsidP="00713B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Opinioni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ligjor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CBF2945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C9F3D8B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408D28B" w14:textId="77777777" w:rsidR="00713B42" w:rsidRPr="006712C5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12.5 %</w:t>
            </w:r>
          </w:p>
        </w:tc>
      </w:tr>
      <w:tr w:rsidR="00713B42" w:rsidRPr="001B34CE" w14:paraId="66322662" w14:textId="77777777" w:rsidTr="00851DB9">
        <w:trPr>
          <w:trHeight w:hRule="exact" w:val="6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5D4FA465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362934D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7B9DE4C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091BD9D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223E5C2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13B42" w:rsidRPr="001B34CE" w14:paraId="4197DFB4" w14:textId="77777777" w:rsidTr="00851DB9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CF759FD" w14:textId="1A2BFEB5" w:rsidR="00713B42" w:rsidRPr="001B34CE" w:rsidRDefault="00851DB9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Burimet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Pr="00851DB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851DB9">
              <w:rPr>
                <w:rFonts w:ascii="Arial" w:hAnsi="Arial" w:cs="Arial"/>
                <w:b/>
                <w:sz w:val="17"/>
                <w:szCs w:val="17"/>
              </w:rPr>
              <w:t>konkretizimit</w:t>
            </w:r>
            <w:proofErr w:type="spellEnd"/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8441754" w14:textId="58E68DD4" w:rsidR="00713B42" w:rsidRPr="001B34CE" w:rsidRDefault="00851DB9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573FB1E1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</w:tr>
      <w:tr w:rsidR="00713B42" w:rsidRPr="001B34CE" w14:paraId="27CB3010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A6DC37F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1C76F" w14:textId="77777777" w:rsidR="00713B42" w:rsidRPr="001B34CE" w:rsidRDefault="00713B42" w:rsidP="00713B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Leksione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7CE788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13B42" w:rsidRPr="001B34CE" w14:paraId="0D401679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8FF9F9E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B4704" w14:textId="72F32324" w:rsidR="00713B42" w:rsidRPr="001B34CE" w:rsidRDefault="00713B42" w:rsidP="00713B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E-</w:t>
            </w:r>
            <w:proofErr w:type="spellStart"/>
            <w:r w:rsidR="008D0BF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B</w:t>
            </w: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ibliotek</w:t>
            </w:r>
            <w:r w:rsidR="008D0BF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003D64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13B42" w:rsidRPr="001B34CE" w14:paraId="4821F1B5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EAADE38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C0860" w14:textId="77777777" w:rsidR="00713B42" w:rsidRPr="001B34CE" w:rsidRDefault="00713B42" w:rsidP="00713B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Studime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rastesh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A7A126E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13B42" w:rsidRPr="001B34CE" w14:paraId="6D509140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9428E3C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779B2" w14:textId="77777777" w:rsidR="00713B42" w:rsidRPr="001B34CE" w:rsidRDefault="00713B42" w:rsidP="00713B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Projektor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BE4A310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13B42" w:rsidRPr="001B34CE" w14:paraId="1D99899A" w14:textId="77777777" w:rsidTr="00851DB9">
        <w:trPr>
          <w:trHeight w:hRule="exact" w:val="604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6E1286E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ECTS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Ngarkesa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6D8D841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  <w:proofErr w:type="spellEnd"/>
          </w:p>
        </w:tc>
        <w:tc>
          <w:tcPr>
            <w:tcW w:w="128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7ED1CB8" w14:textId="7F9D1D66" w:rsidR="00713B42" w:rsidRPr="001B34CE" w:rsidRDefault="00851DB9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Ore</w:t>
            </w:r>
            <w:r w:rsidR="00713B42"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713B42" w:rsidRPr="001B34CE">
              <w:rPr>
                <w:rFonts w:ascii="Arial" w:hAnsi="Arial" w:cs="Arial"/>
                <w:b/>
                <w:sz w:val="17"/>
                <w:szCs w:val="17"/>
              </w:rPr>
              <w:t>javore</w:t>
            </w:r>
            <w:proofErr w:type="spellEnd"/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2E736FEC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Totali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ngarkesës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së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</w:tr>
      <w:tr w:rsidR="00713B42" w:rsidRPr="001B34CE" w14:paraId="5BFDCD4F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6409CC2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A80B7" w14:textId="77777777" w:rsidR="00713B42" w:rsidRPr="001B34CE" w:rsidRDefault="00713B42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Leksione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EB8B5D6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F24A5EA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40</w:t>
            </w:r>
          </w:p>
        </w:tc>
      </w:tr>
      <w:tr w:rsidR="00713B42" w:rsidRPr="001B34CE" w14:paraId="1DD3250D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2BA3E98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02077" w14:textId="77777777" w:rsidR="00713B42" w:rsidRPr="001B34CE" w:rsidRDefault="00713B42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Ushtrimet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5EA4780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C5E447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20</w:t>
            </w:r>
          </w:p>
        </w:tc>
      </w:tr>
      <w:tr w:rsidR="00713B42" w:rsidRPr="001B34CE" w14:paraId="025FFEA7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8413279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A2221" w14:textId="77777777" w:rsidR="00713B42" w:rsidRPr="001B34CE" w:rsidRDefault="00713B42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pavarur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93BFB1E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D1D9167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</w:tc>
      </w:tr>
      <w:tr w:rsidR="00713B42" w14:paraId="1715AA10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7B9052A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7F473" w14:textId="7D4305CA" w:rsidR="00713B42" w:rsidRDefault="008D0BF6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Projekti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Kërkim</w:t>
            </w: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or</w:t>
            </w:r>
            <w:proofErr w:type="spellEnd"/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krahasues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C39C89A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FD19A35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</w:tc>
      </w:tr>
      <w:tr w:rsidR="00713B42" w:rsidRPr="001B34CE" w14:paraId="557A383A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529F43E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BAC7E" w14:textId="23D62FD2" w:rsidR="00713B42" w:rsidRPr="001B34CE" w:rsidRDefault="00713B42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Përgatitja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r w:rsidR="008D0BF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e </w:t>
            </w:r>
            <w:proofErr w:type="spellStart"/>
            <w:r w:rsidR="008D0BF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rishikimit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8D0BF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kritik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A651990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92A792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10</w:t>
            </w:r>
          </w:p>
          <w:p w14:paraId="7C33420F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13B42" w:rsidRPr="001B34CE" w14:paraId="78C50162" w14:textId="77777777" w:rsidTr="00851DB9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CCBEFCC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B4012" w14:textId="77777777" w:rsidR="00713B42" w:rsidRDefault="00713B42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Opinioni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ligjor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895E003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8BF9507" w14:textId="77777777" w:rsidR="00713B42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</w:tr>
      <w:tr w:rsidR="00713B42" w:rsidRPr="001B34CE" w14:paraId="2A6F7AA0" w14:textId="77777777" w:rsidTr="008D0BF6">
        <w:trPr>
          <w:trHeight w:hRule="exact" w:val="279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8D3169F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9BB8" w14:textId="1189F53A" w:rsidR="00713B42" w:rsidRPr="001B34CE" w:rsidRDefault="008D0BF6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Provimi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13B42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përfundimtar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Rasti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studimore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5BDA009" w14:textId="77777777" w:rsidR="00713B42" w:rsidRPr="001B34CE" w:rsidRDefault="00713B42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B149F8" w14:textId="151C00CB" w:rsidR="00713B42" w:rsidRPr="001B34CE" w:rsidRDefault="008D0BF6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</w:tc>
      </w:tr>
      <w:tr w:rsidR="00713B42" w:rsidRPr="00992DBF" w14:paraId="45619792" w14:textId="77777777" w:rsidTr="00851DB9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3A93A16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Literatura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>/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Referencat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7D3B9D1" w14:textId="77777777" w:rsidR="00851DB9" w:rsidRPr="00851DB9" w:rsidRDefault="00851DB9" w:rsidP="00851DB9">
            <w:pPr>
              <w:pStyle w:val="ListParagraph"/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</w:p>
          <w:p w14:paraId="408C718D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Ismet </w:t>
            </w:r>
            <w:proofErr w:type="spellStart"/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Salihu:E</w:t>
            </w:r>
            <w:proofErr w:type="spellEnd"/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drejta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penale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-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Pjesa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përgjithshme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Prishtinë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, 2015.</w:t>
            </w:r>
          </w:p>
          <w:p w14:paraId="66ECF3E7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Ahmet, and Elda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. "Protection of Human Trafficking Victims and Functionalization of Institutional Mechanisms in Kosovo." Acta Universitatis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Danubius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Juridica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16.1 (2020).</w:t>
            </w:r>
          </w:p>
          <w:p w14:paraId="2B55E246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Ahmet, Islam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Qerimi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and Elda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. "The Scope of Crime by Social Origin in the Region of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Gjilan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." Academic Journal of Interdisciplinary Studies 11.4 (2022): 172.</w:t>
            </w:r>
          </w:p>
          <w:p w14:paraId="18D66CDA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Elda, Osman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Jasarevic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and Ahmet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. "Assistance of the psychologist expert in the justice bodies to protect minors in Kosovo." EUREKA: Social and </w:t>
            </w:r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Humanities,(</w:t>
            </w:r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2) (2021): 52-60.</w:t>
            </w:r>
          </w:p>
          <w:p w14:paraId="751A9D5E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Kodi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Penal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Republikës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së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Kosovës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Prishtinë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, 2012.</w:t>
            </w:r>
          </w:p>
          <w:p w14:paraId="19140581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Komentar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–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Kodi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Penal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Republikës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së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Kosovës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Prishtinë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2014. </w:t>
            </w:r>
          </w:p>
          <w:p w14:paraId="3023DE23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Vllado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Kambovski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,</w:t>
            </w:r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“E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drejta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penale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pergjithshme”,Shkup,2010</w:t>
            </w:r>
          </w:p>
          <w:p w14:paraId="6B0DA800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Franjo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Bacic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, “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Krivicno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pravo,opsti</w:t>
            </w:r>
            <w:proofErr w:type="spellEnd"/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”, Zagreb,1978</w:t>
            </w:r>
          </w:p>
          <w:p w14:paraId="05F2E630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Ismail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Zejneli</w:t>
            </w:r>
            <w:proofErr w:type="spellEnd"/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,”E</w:t>
            </w:r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drejta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penale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pjesa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posaçme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(lectures),Tetovë,2007</w:t>
            </w:r>
          </w:p>
          <w:p w14:paraId="52757F5A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Zoran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Stojanovic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, “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Krivicno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pravo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opsti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”, Beograd, 2006</w:t>
            </w:r>
          </w:p>
          <w:p w14:paraId="00A37737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lastRenderedPageBreak/>
              <w:t>Dr.Zoran.A</w:t>
            </w:r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&amp;Dr.Obrad.P,”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Krivicno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pravo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posebni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dio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”, Beograd, 2006</w:t>
            </w:r>
          </w:p>
          <w:p w14:paraId="1A213274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Dr.Borislav</w:t>
            </w:r>
            <w:proofErr w:type="spellEnd"/>
            <w:proofErr w:type="gram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Petrovic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,”E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drejta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penale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” (translation),Sarajeve,2006</w:t>
            </w:r>
          </w:p>
          <w:p w14:paraId="06994BD6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Joel Samaha “Criminal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Laë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”, Canada, 2010;</w:t>
            </w:r>
          </w:p>
          <w:p w14:paraId="41FEF87E" w14:textId="77777777" w:rsidR="00851DB9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Thomas J. Gardner, Terry M. Anderson, “Criminal Law Canada”, 2011</w:t>
            </w:r>
          </w:p>
          <w:p w14:paraId="43EF10BA" w14:textId="11264D29" w:rsidR="00713B42" w:rsidRPr="00851DB9" w:rsidRDefault="00851DB9" w:rsidP="00851DB9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Wayne R. La </w:t>
            </w:r>
            <w:proofErr w:type="spellStart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Fave</w:t>
            </w:r>
            <w:proofErr w:type="spellEnd"/>
            <w:r w:rsidRPr="00851DB9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, “Criminal Law”, New York, 2010.</w:t>
            </w:r>
          </w:p>
        </w:tc>
      </w:tr>
      <w:tr w:rsidR="00713B42" w:rsidRPr="001B34CE" w14:paraId="015128FA" w14:textId="77777777" w:rsidTr="00851DB9">
        <w:trPr>
          <w:trHeight w:val="467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C009A60" w14:textId="77777777" w:rsidR="00713B42" w:rsidRPr="001B34CE" w:rsidRDefault="00713B42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lastRenderedPageBreak/>
              <w:t>Kontakt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32F76AE" w14:textId="77777777" w:rsidR="00851DB9" w:rsidRDefault="00851DB9" w:rsidP="00376B9A">
            <w:pPr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>Profesor</w:t>
            </w:r>
            <w:proofErr w:type="spellEnd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>i</w:t>
            </w:r>
            <w:proofErr w:type="spellEnd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>Asociuar</w:t>
            </w:r>
            <w:proofErr w:type="spellEnd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 xml:space="preserve"> Dr. Ahmet </w:t>
            </w:r>
            <w:proofErr w:type="spellStart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>Maloku</w:t>
            </w:r>
            <w:proofErr w:type="spellEnd"/>
            <w:r w:rsidRPr="00851DB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</w:p>
          <w:p w14:paraId="4E2F22A6" w14:textId="7AA3ADF2" w:rsidR="00713B42" w:rsidRPr="00172F35" w:rsidRDefault="00851DB9" w:rsidP="00376B9A">
            <w:pPr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04040"/>
                <w:sz w:val="20"/>
                <w:szCs w:val="20"/>
              </w:rPr>
              <w:t>Email:</w:t>
            </w:r>
            <w:r w:rsidR="00713B42" w:rsidRPr="00E83CFB">
              <w:rPr>
                <w:rFonts w:ascii="Arial" w:hAnsi="Arial" w:cs="Arial"/>
                <w:color w:val="404040"/>
                <w:sz w:val="20"/>
                <w:szCs w:val="20"/>
              </w:rPr>
              <w:t>ahmet.maloku@ubt-uni.net</w:t>
            </w:r>
            <w:proofErr w:type="gramEnd"/>
          </w:p>
        </w:tc>
      </w:tr>
    </w:tbl>
    <w:p w14:paraId="219DBD2A" w14:textId="77777777" w:rsidR="00713B42" w:rsidRDefault="00713B42"/>
    <w:p w14:paraId="3B6EAC88" w14:textId="77777777" w:rsidR="00713B42" w:rsidRDefault="00713B42"/>
    <w:p w14:paraId="1FDDAC32" w14:textId="77777777" w:rsidR="00713B42" w:rsidRDefault="00713B42"/>
    <w:sectPr w:rsidR="0071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E2"/>
    <w:multiLevelType w:val="hybridMultilevel"/>
    <w:tmpl w:val="DFF68996"/>
    <w:lvl w:ilvl="0" w:tplc="0D7E1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F23D84"/>
    <w:multiLevelType w:val="hybridMultilevel"/>
    <w:tmpl w:val="7954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D5827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0BF5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4B7"/>
    <w:multiLevelType w:val="hybridMultilevel"/>
    <w:tmpl w:val="F89C09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FDA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6637A"/>
    <w:rsid w:val="001750E2"/>
    <w:rsid w:val="00181070"/>
    <w:rsid w:val="001A449F"/>
    <w:rsid w:val="005C30E1"/>
    <w:rsid w:val="00713B42"/>
    <w:rsid w:val="0074163A"/>
    <w:rsid w:val="008224D9"/>
    <w:rsid w:val="00851DB9"/>
    <w:rsid w:val="008D0BF6"/>
    <w:rsid w:val="00C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713B42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713B42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713B42"/>
    <w:pPr>
      <w:spacing w:after="0" w:line="240" w:lineRule="auto"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egzona osmanaj</cp:lastModifiedBy>
  <cp:revision>8</cp:revision>
  <dcterms:created xsi:type="dcterms:W3CDTF">2017-09-13T21:10:00Z</dcterms:created>
  <dcterms:modified xsi:type="dcterms:W3CDTF">2024-02-02T12:54:00Z</dcterms:modified>
</cp:coreProperties>
</file>