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56" w:rsidRDefault="0045598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wis721 Cn BT" w:eastAsia="Swis721 Cn BT" w:hAnsi="Swis721 Cn BT" w:cs="Swis721 Cn BT"/>
          <w:noProof/>
        </w:rPr>
        <w:drawing>
          <wp:inline distT="0" distB="0" distL="0" distR="0">
            <wp:extent cx="813741" cy="692955"/>
            <wp:effectExtent l="0" t="0" r="0" b="0"/>
            <wp:docPr id="63" name="image1.jpg" descr="UBT%20Baner%20Bardh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BT%20Baner%20Bardh[1]"/>
                    <pic:cNvPicPr preferRelativeResize="0"/>
                  </pic:nvPicPr>
                  <pic:blipFill>
                    <a:blip r:embed="rId6"/>
                    <a:srcRect r="85977"/>
                    <a:stretch>
                      <a:fillRect/>
                    </a:stretch>
                  </pic:blipFill>
                  <pic:spPr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0856" w:rsidRDefault="004559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LLB Law</w:t>
      </w:r>
    </w:p>
    <w:p w:rsidR="007E0856" w:rsidRDefault="0045598A">
      <w:pPr>
        <w:tabs>
          <w:tab w:val="left" w:pos="4560"/>
          <w:tab w:val="center" w:pos="504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Syllabus</w:t>
      </w:r>
    </w:p>
    <w:tbl>
      <w:tblPr>
        <w:tblStyle w:val="a0"/>
        <w:tblW w:w="10070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594"/>
        <w:gridCol w:w="456"/>
        <w:gridCol w:w="860"/>
        <w:gridCol w:w="400"/>
        <w:gridCol w:w="1000"/>
        <w:gridCol w:w="260"/>
        <w:gridCol w:w="1502"/>
      </w:tblGrid>
      <w:tr w:rsidR="007E0856"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45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Subject 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Criminal Law I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Mandatory (M)</w:t>
            </w:r>
          </w:p>
          <w:p w:rsidR="007E0856" w:rsidRDefault="007E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Law-B-019</w:t>
            </w:r>
          </w:p>
        </w:tc>
      </w:tr>
      <w:tr w:rsidR="007E0856">
        <w:trPr>
          <w:trHeight w:val="343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lecturer of the subject    </w:t>
            </w:r>
          </w:p>
          <w:p w:rsidR="007E0856" w:rsidRDefault="004559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tutor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856" w:rsidRDefault="009A37FB" w:rsidP="009A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Associate Professor </w:t>
            </w:r>
            <w:proofErr w:type="spellStart"/>
            <w:r w:rsidR="0045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 w:rsidR="00455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Maloku</w:t>
            </w:r>
            <w:proofErr w:type="spellEnd"/>
          </w:p>
        </w:tc>
      </w:tr>
      <w:tr w:rsidR="007E0856">
        <w:trPr>
          <w:trHeight w:val="1623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45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Aims and Objectives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The purpose of study of this judicial, scientific and legal discipline is to offer to the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students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basic knowledge on the principles and the basic institutions of the criminal law. Criminal law as a positive scientific discipline,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it’s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object of study is the treatment of main judicial penal institutions such are: criminal acts, the persons who commits criminal offence and criminal accountability, criminal sanctions, institutions that are also stipulated in the Criminal Code of Republic of Kosovo.</w:t>
            </w:r>
          </w:p>
          <w:p w:rsidR="007E0856" w:rsidRDefault="00455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Objectives:</w:t>
            </w:r>
          </w:p>
          <w:p w:rsidR="007E0856" w:rsidRDefault="004559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the object of study of criminal law;</w:t>
            </w:r>
          </w:p>
          <w:p w:rsidR="007E0856" w:rsidRDefault="004559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the main institutions of criminal law;</w:t>
            </w:r>
          </w:p>
          <w:p w:rsidR="007E0856" w:rsidRDefault="004559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the general elements of criminal act;</w:t>
            </w:r>
          </w:p>
          <w:p w:rsidR="007E0856" w:rsidRDefault="004559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the criminal accountability for the participants in criminal acts;</w:t>
            </w:r>
          </w:p>
          <w:p w:rsidR="007E0856" w:rsidRDefault="004559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 the nature of criminal sanctions.</w:t>
            </w:r>
          </w:p>
        </w:tc>
      </w:tr>
      <w:tr w:rsidR="007E0856" w:rsidTr="00FA16CB">
        <w:trPr>
          <w:trHeight w:val="89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45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Outcomes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completing this course, students should be able to:  </w:t>
            </w:r>
          </w:p>
          <w:p w:rsidR="007E0856" w:rsidRDefault="004559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demonstrate</w:t>
            </w:r>
            <w:r w:rsidR="0022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 understanding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practice on what does the Criminal Law study;</w:t>
            </w:r>
          </w:p>
          <w:p w:rsidR="007E0856" w:rsidRPr="0084727E" w:rsidRDefault="0045598A" w:rsidP="008472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explain</w:t>
            </w:r>
            <w:r w:rsidR="0084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review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</w:t>
            </w:r>
            <w:r w:rsidR="00847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 institutes of criminal law and general elements of criminal act</w:t>
            </w:r>
            <w:r w:rsidR="00753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0856" w:rsidRDefault="004559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 w:rsidR="0022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accountability (the types of guilt) for the person who commits criminal acts;</w:t>
            </w:r>
          </w:p>
          <w:p w:rsidR="007E0856" w:rsidRDefault="004559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apply and explain the use of criminal sanctions against the persons who commit criminal acts;</w:t>
            </w:r>
          </w:p>
          <w:p w:rsidR="007E0856" w:rsidRDefault="004559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 w:rsidR="00FA1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gather, analyze, and interpret legal questions arising from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provisions of Criminal Code of Republic of Kosovo. </w:t>
            </w:r>
          </w:p>
          <w:p w:rsidR="00CC2372" w:rsidRDefault="00CC23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execute research using legal analysis of provisions of Criminal Code of Kosovo</w:t>
            </w:r>
          </w:p>
          <w:p w:rsidR="007E0856" w:rsidRDefault="007E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0856">
        <w:trPr>
          <w:trHeight w:val="386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45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Course Content</w:t>
            </w: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Plan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 of syllabus and the program of course – notion and the main characteristics of Criminal Law;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856">
        <w:trPr>
          <w:trHeight w:val="275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 of criminal law and other judicial sciences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0856">
        <w:trPr>
          <w:trHeight w:val="29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sources of criminal law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0856">
        <w:trPr>
          <w:trHeight w:val="334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Principle of legality in the criminal law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Interpretation of criminal laws and Actions of Criminal Law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E0856">
        <w:trPr>
          <w:trHeight w:val="285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Notion and elements of criminal act; Object and study of criminal act.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E0856">
        <w:trPr>
          <w:trHeight w:val="365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Colloquium I</w:t>
            </w:r>
            <w:r w:rsidR="0060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(Review)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Classification of criminal acts, act and causality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 w:rsidP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Illegality and the reasons why one dismisses illegality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E0856">
        <w:trPr>
          <w:trHeight w:val="261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Violence, threat and criminal accountability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E0856">
        <w:trPr>
          <w:trHeight w:val="325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Guilt, intentionality and negligence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E0856">
        <w:trPr>
          <w:trHeight w:val="261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Accountability on the qualified forms of criminal acts, mistakes, preparatory acts and attempt to commit criminal act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E0856">
        <w:trPr>
          <w:trHeight w:val="261"/>
        </w:trPr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Joining of criminal acts, cooperation and incitement, notion, functioning and system of criminal sanctions.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E0856">
        <w:trPr>
          <w:trHeight w:val="261"/>
        </w:trPr>
        <w:tc>
          <w:tcPr>
            <w:tcW w:w="1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Colloquium II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E0856">
        <w:trPr>
          <w:trHeight w:val="261"/>
        </w:trPr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Final exam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E0856">
        <w:trPr>
          <w:trHeight w:val="288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45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Teaching/Learning Methods</w:t>
            </w: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Teaching/Learning Activity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Weight (%)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60%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15%</w:t>
            </w:r>
          </w:p>
        </w:tc>
      </w:tr>
      <w:tr w:rsidR="007E0856">
        <w:trPr>
          <w:trHeight w:val="34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Case studies exercises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25%</w:t>
            </w:r>
          </w:p>
        </w:tc>
      </w:tr>
      <w:tr w:rsidR="007E0856">
        <w:trPr>
          <w:trHeight w:val="288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45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Methods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Activity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Weight (%)</w:t>
            </w:r>
          </w:p>
        </w:tc>
      </w:tr>
      <w:tr w:rsidR="007E0856">
        <w:trPr>
          <w:trHeight w:val="25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Participation in lectures and exercises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</w:rPr>
              <w:t>Case study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7E0856">
        <w:trPr>
          <w:trHeight w:val="352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Colloquium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exam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</w:p>
        </w:tc>
      </w:tr>
      <w:tr w:rsidR="007E0856">
        <w:trPr>
          <w:trHeight w:val="288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45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resources and means of materialization</w:t>
            </w: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Resources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Number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Class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Projector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Moodle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856">
        <w:trPr>
          <w:trHeight w:val="288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45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 Workload</w:t>
            </w: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Weekly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0856" w:rsidRDefault="004559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workload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1E6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Exercises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Self-study and readings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study preparation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Colloquium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Preparation for final exam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E0856">
        <w:trPr>
          <w:trHeight w:val="288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7E0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Exams </w:t>
            </w:r>
          </w:p>
        </w:tc>
        <w:tc>
          <w:tcPr>
            <w:tcW w:w="1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0856">
        <w:trPr>
          <w:trHeight w:val="1700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45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Literature/References 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7E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Basic literature:</w:t>
            </w:r>
          </w:p>
          <w:p w:rsidR="007E0856" w:rsidRDefault="007E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7E0856" w:rsidRDefault="004559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General Criminal Law. University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Prishtina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Faculty of Law.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Prishtina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2016.</w:t>
            </w:r>
          </w:p>
          <w:p w:rsidR="007E0856" w:rsidRDefault="004559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Shefqet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Muçi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General Criminal Law.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Albania, 2017. </w:t>
            </w:r>
          </w:p>
          <w:p w:rsidR="007E0856" w:rsidRDefault="004559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Jens David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Ohloin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Criminal Law: Doctrine, Application, and Practice (Aspen Casebook) 2nd Edition.2020.</w:t>
            </w:r>
          </w:p>
          <w:p w:rsidR="007E0856" w:rsidRDefault="004559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George P. Fletcher, Basic Concepts of Criminal Law. 1998.</w:t>
            </w:r>
          </w:p>
          <w:p w:rsidR="007E0856" w:rsidRDefault="004559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Kambovski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Ismail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Zejneli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General Criminal Law,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Tetovë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North Macedonia, 2018.  </w:t>
            </w:r>
          </w:p>
          <w:p w:rsidR="007E0856" w:rsidRDefault="004559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2010.</w:t>
            </w:r>
          </w:p>
          <w:p w:rsidR="007E0856" w:rsidRDefault="007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856" w:rsidRDefault="00455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 legal framework:</w:t>
            </w:r>
          </w:p>
          <w:p w:rsidR="007E0856" w:rsidRDefault="007E0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7E0856" w:rsidRDefault="004559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Criminal Code of the Republic of Kosovo (Code No. 06/l-074, 23 November 2018).</w:t>
            </w:r>
          </w:p>
          <w:p w:rsidR="007E0856" w:rsidRDefault="004559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Juvenile Justice Code (Code No. 06/l –006, 14 September 2018).</w:t>
            </w:r>
          </w:p>
          <w:p w:rsidR="007E0856" w:rsidRDefault="007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856">
        <w:trPr>
          <w:trHeight w:val="29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7E0856" w:rsidRDefault="0045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8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56" w:rsidRDefault="009A37FB" w:rsidP="009A37FB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Associate Professor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Ahmet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Maloku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5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Email: </w:t>
            </w:r>
            <w:hyperlink r:id="rId7" w:history="1">
              <w:r w:rsidR="005E79C4" w:rsidRPr="00212AFD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  <w:highlight w:val="white"/>
                </w:rPr>
                <w:t>ahmet.maloku@ubt-uni.net</w:t>
              </w:r>
            </w:hyperlink>
            <w:r w:rsidR="004559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u w:val="single"/>
              </w:rPr>
              <w:t xml:space="preserve"> </w:t>
            </w:r>
          </w:p>
        </w:tc>
      </w:tr>
    </w:tbl>
    <w:p w:rsidR="007E0856" w:rsidRDefault="007E08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7E0856">
      <w:pgSz w:w="12240" w:h="15840"/>
      <w:pgMar w:top="99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886"/>
    <w:multiLevelType w:val="multilevel"/>
    <w:tmpl w:val="FE50E8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35354F"/>
    <w:multiLevelType w:val="multilevel"/>
    <w:tmpl w:val="BFF0E3B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1A2A91"/>
    <w:multiLevelType w:val="multilevel"/>
    <w:tmpl w:val="67D6E6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2D257B"/>
    <w:multiLevelType w:val="multilevel"/>
    <w:tmpl w:val="11AA0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F567AE"/>
    <w:multiLevelType w:val="multilevel"/>
    <w:tmpl w:val="67989C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56"/>
    <w:rsid w:val="001E6204"/>
    <w:rsid w:val="0022473C"/>
    <w:rsid w:val="0045598A"/>
    <w:rsid w:val="005E79C4"/>
    <w:rsid w:val="00600817"/>
    <w:rsid w:val="007531D8"/>
    <w:rsid w:val="007E0856"/>
    <w:rsid w:val="007F2248"/>
    <w:rsid w:val="0084727E"/>
    <w:rsid w:val="009A37FB"/>
    <w:rsid w:val="00CC2372"/>
    <w:rsid w:val="00D755CC"/>
    <w:rsid w:val="00FA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6C9EA-052F-495E-A678-895BCC44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Default">
    <w:name w:val="Default"/>
    <w:rsid w:val="006240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FB7"/>
    <w:pPr>
      <w:spacing w:after="0" w:line="240" w:lineRule="auto"/>
    </w:pPr>
    <w:rPr>
      <w:rFonts w:ascii="Tahoma" w:eastAsiaTheme="minorHAnsi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B7"/>
    <w:rPr>
      <w:rFonts w:ascii="Tahoma" w:eastAsiaTheme="minorHAnsi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21C5F"/>
    <w:pPr>
      <w:ind w:left="720"/>
      <w:contextualSpacing/>
    </w:pPr>
    <w:rPr>
      <w:rFonts w:asciiTheme="minorHAnsi" w:eastAsiaTheme="minorHAnsi" w:hAnsiTheme="minorHAnsi" w:cstheme="minorBidi"/>
      <w:noProof/>
    </w:rPr>
  </w:style>
  <w:style w:type="character" w:styleId="Hyperlink">
    <w:name w:val="Hyperlink"/>
    <w:basedOn w:val="DefaultParagraphFont"/>
    <w:uiPriority w:val="99"/>
    <w:unhideWhenUsed/>
    <w:rsid w:val="00021C5F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47D48"/>
    <w:pPr>
      <w:spacing w:after="0" w:line="240" w:lineRule="auto"/>
    </w:pPr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47D48"/>
    <w:rPr>
      <w:rFonts w:cs="Times New Roman"/>
      <w:lang w:val="en-US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met.maloku@ubt-un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nZaMrBUskg5RVpyOnXkva5UKAA==">AMUW2mVei2afkAHyo/Sl1OxMYShGkud0MPUO9gvVBjKkuZhGiRUEBN32wr6VugzHv8otH3tXRbomMDYeroisx3j7ZzY/G4s7U2yTC9k3LIYGKjEJcMGm9q8=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14</cp:revision>
  <dcterms:created xsi:type="dcterms:W3CDTF">2023-01-18T08:56:00Z</dcterms:created>
  <dcterms:modified xsi:type="dcterms:W3CDTF">2023-02-03T10:44:00Z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2b87340250ca5af04cae908f95f8cf55b7a82e9e5efe41f572e390310532e8f5</vt:lpwstr>
  </property>
</Properties>
</file>