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08" w:rsidRDefault="00DB10A2">
      <w:pPr>
        <w:jc w:val="center"/>
        <w:rPr>
          <w:rFonts w:ascii="Swis721 Cn BT" w:eastAsia="Swis721 Cn BT" w:hAnsi="Swis721 Cn BT" w:cs="Swis721 Cn BT"/>
        </w:rPr>
      </w:pPr>
      <w:r>
        <w:rPr>
          <w:rFonts w:ascii="Swis721 Cn BT" w:eastAsia="Swis721 Cn BT" w:hAnsi="Swis721 Cn BT" w:cs="Swis721 Cn BT"/>
          <w:noProof/>
          <w:lang w:val="en-US"/>
        </w:rPr>
        <w:drawing>
          <wp:inline distT="0" distB="0" distL="0" distR="0">
            <wp:extent cx="813741" cy="692955"/>
            <wp:effectExtent l="0" t="0" r="0" b="0"/>
            <wp:docPr id="63" name="image1.jpg" descr="UBT%20Baner%20Bardh[1]"/>
            <wp:cNvGraphicFramePr/>
            <a:graphic xmlns:a="http://schemas.openxmlformats.org/drawingml/2006/main">
              <a:graphicData uri="http://schemas.openxmlformats.org/drawingml/2006/picture">
                <pic:pic xmlns:pic="http://schemas.openxmlformats.org/drawingml/2006/picture">
                  <pic:nvPicPr>
                    <pic:cNvPr id="0" name="image1.jpg" descr="UBT%20Baner%20Bardh[1]"/>
                    <pic:cNvPicPr preferRelativeResize="0"/>
                  </pic:nvPicPr>
                  <pic:blipFill>
                    <a:blip r:embed="rId6"/>
                    <a:srcRect r="85977"/>
                    <a:stretch>
                      <a:fillRect/>
                    </a:stretch>
                  </pic:blipFill>
                  <pic:spPr>
                    <a:xfrm>
                      <a:off x="0" y="0"/>
                      <a:ext cx="813741" cy="692955"/>
                    </a:xfrm>
                    <a:prstGeom prst="rect">
                      <a:avLst/>
                    </a:prstGeom>
                    <a:ln/>
                  </pic:spPr>
                </pic:pic>
              </a:graphicData>
            </a:graphic>
          </wp:inline>
        </w:drawing>
      </w:r>
    </w:p>
    <w:p w:rsidR="00D44F08" w:rsidRDefault="00DB10A2">
      <w:pPr>
        <w:jc w:val="center"/>
        <w:rPr>
          <w:rFonts w:ascii="Helvetica Neue" w:eastAsia="Helvetica Neue" w:hAnsi="Helvetica Neue" w:cs="Helvetica Neue"/>
          <w:sz w:val="16"/>
          <w:szCs w:val="16"/>
        </w:rPr>
      </w:pPr>
      <w:r>
        <w:rPr>
          <w:rFonts w:ascii="Helvetica Neue" w:eastAsia="Helvetica Neue" w:hAnsi="Helvetica Neue" w:cs="Helvetica Neue"/>
          <w:sz w:val="16"/>
          <w:szCs w:val="16"/>
        </w:rPr>
        <w:t>…………………………………………………………………………………………………………………………………………………………</w:t>
      </w:r>
    </w:p>
    <w:p w:rsidR="00D44F08" w:rsidRDefault="00DB10A2">
      <w:pPr>
        <w:jc w:val="center"/>
        <w:rPr>
          <w:rFonts w:ascii="Tahoma" w:eastAsia="Tahoma" w:hAnsi="Tahoma" w:cs="Tahoma"/>
          <w:b/>
          <w:sz w:val="24"/>
          <w:szCs w:val="24"/>
        </w:rPr>
      </w:pPr>
      <w:r>
        <w:rPr>
          <w:rFonts w:ascii="Tahoma" w:eastAsia="Tahoma" w:hAnsi="Tahoma" w:cs="Tahoma"/>
          <w:b/>
          <w:sz w:val="24"/>
          <w:szCs w:val="24"/>
        </w:rPr>
        <w:t>LAW FACULTY</w:t>
      </w:r>
    </w:p>
    <w:p w:rsidR="00D44F08" w:rsidRDefault="00DB10A2">
      <w:pPr>
        <w:jc w:val="center"/>
        <w:rPr>
          <w:rFonts w:ascii="Arial" w:eastAsia="Arial" w:hAnsi="Arial" w:cs="Arial"/>
          <w:b/>
          <w:sz w:val="18"/>
          <w:szCs w:val="18"/>
        </w:rPr>
      </w:pPr>
      <w:r>
        <w:rPr>
          <w:rFonts w:ascii="Arial" w:eastAsia="Arial" w:hAnsi="Arial" w:cs="Arial"/>
          <w:b/>
          <w:sz w:val="18"/>
          <w:szCs w:val="18"/>
        </w:rPr>
        <w:t xml:space="preserve"> Syllabus</w:t>
      </w:r>
    </w:p>
    <w:p w:rsidR="00D44F08" w:rsidRDefault="00D44F08">
      <w:pPr>
        <w:jc w:val="center"/>
        <w:rPr>
          <w:rFonts w:ascii="Arial" w:eastAsia="Arial" w:hAnsi="Arial" w:cs="Arial"/>
          <w:b/>
          <w:sz w:val="18"/>
          <w:szCs w:val="18"/>
        </w:rPr>
      </w:pPr>
    </w:p>
    <w:tbl>
      <w:tblPr>
        <w:tblStyle w:val="a"/>
        <w:tblW w:w="10027" w:type="dxa"/>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Layout w:type="fixed"/>
        <w:tblLook w:val="0400" w:firstRow="0" w:lastRow="0" w:firstColumn="0" w:lastColumn="0" w:noHBand="0" w:noVBand="1"/>
      </w:tblPr>
      <w:tblGrid>
        <w:gridCol w:w="1927"/>
        <w:gridCol w:w="3550"/>
        <w:gridCol w:w="1332"/>
        <w:gridCol w:w="1426"/>
        <w:gridCol w:w="1792"/>
      </w:tblGrid>
      <w:tr w:rsidR="00D44F08">
        <w:tc>
          <w:tcPr>
            <w:tcW w:w="1927" w:type="dxa"/>
            <w:vMerge w:val="restart"/>
            <w:tcBorders>
              <w:top w:val="single" w:sz="4" w:space="0" w:color="7F7F7F"/>
              <w:left w:val="single" w:sz="4" w:space="0" w:color="7F7F7F"/>
              <w:bottom w:val="single" w:sz="6" w:space="0" w:color="7F7F7F"/>
              <w:right w:val="single" w:sz="4" w:space="0" w:color="7F7F7F"/>
            </w:tcBorders>
            <w:shd w:val="clear" w:color="auto" w:fill="D9E2F3"/>
            <w:vAlign w:val="center"/>
          </w:tcPr>
          <w:p w:rsidR="00D44F08" w:rsidRDefault="00DB10A2">
            <w:pPr>
              <w:jc w:val="both"/>
              <w:rPr>
                <w:rFonts w:ascii="Arial" w:eastAsia="Arial" w:hAnsi="Arial" w:cs="Arial"/>
                <w:b/>
                <w:sz w:val="18"/>
                <w:szCs w:val="18"/>
              </w:rPr>
            </w:pPr>
            <w:r>
              <w:rPr>
                <w:rFonts w:ascii="Arial" w:eastAsia="Arial" w:hAnsi="Arial" w:cs="Arial"/>
                <w:b/>
                <w:sz w:val="18"/>
                <w:szCs w:val="18"/>
              </w:rPr>
              <w:t>Subject</w:t>
            </w:r>
          </w:p>
          <w:p w:rsidR="00D44F08" w:rsidRDefault="00D44F08">
            <w:pPr>
              <w:jc w:val="both"/>
              <w:rPr>
                <w:rFonts w:ascii="Arial" w:eastAsia="Arial" w:hAnsi="Arial" w:cs="Arial"/>
                <w:b/>
                <w:sz w:val="18"/>
                <w:szCs w:val="18"/>
              </w:rPr>
            </w:pPr>
          </w:p>
        </w:tc>
        <w:tc>
          <w:tcPr>
            <w:tcW w:w="8100" w:type="dxa"/>
            <w:gridSpan w:val="4"/>
            <w:tcBorders>
              <w:top w:val="single" w:sz="4" w:space="0" w:color="7F7F7F"/>
              <w:left w:val="single" w:sz="4" w:space="0" w:color="7F7F7F"/>
              <w:bottom w:val="nil"/>
              <w:right w:val="single" w:sz="4" w:space="0" w:color="7F7F7F"/>
            </w:tcBorders>
            <w:vAlign w:val="center"/>
          </w:tcPr>
          <w:p w:rsidR="00D44F08" w:rsidRDefault="00DB10A2">
            <w:pPr>
              <w:rPr>
                <w:rFonts w:ascii="Arial" w:eastAsia="Arial" w:hAnsi="Arial" w:cs="Arial"/>
                <w:b/>
                <w:sz w:val="18"/>
                <w:szCs w:val="18"/>
              </w:rPr>
            </w:pPr>
            <w:r>
              <w:rPr>
                <w:rFonts w:ascii="Arial" w:eastAsia="Arial" w:hAnsi="Arial" w:cs="Arial"/>
                <w:b/>
                <w:sz w:val="18"/>
                <w:szCs w:val="18"/>
              </w:rPr>
              <w:t>Corporate litigation</w:t>
            </w:r>
          </w:p>
          <w:p w:rsidR="00D44F08" w:rsidRDefault="00D44F08">
            <w:pPr>
              <w:rPr>
                <w:rFonts w:ascii="Arial" w:eastAsia="Arial" w:hAnsi="Arial" w:cs="Arial"/>
                <w:sz w:val="18"/>
                <w:szCs w:val="18"/>
              </w:rPr>
            </w:pPr>
          </w:p>
        </w:tc>
      </w:tr>
      <w:tr w:rsidR="00D44F08">
        <w:trPr>
          <w:trHeight w:val="288"/>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nil"/>
              <w:right w:val="nil"/>
            </w:tcBorders>
            <w:shd w:val="clear" w:color="auto" w:fill="F2F2F2"/>
            <w:vAlign w:val="center"/>
          </w:tcPr>
          <w:p w:rsidR="00D44F08" w:rsidRDefault="00DB10A2">
            <w:pPr>
              <w:jc w:val="center"/>
              <w:rPr>
                <w:rFonts w:ascii="Arial" w:eastAsia="Arial" w:hAnsi="Arial" w:cs="Arial"/>
                <w:sz w:val="18"/>
                <w:szCs w:val="18"/>
              </w:rPr>
            </w:pPr>
            <w:r>
              <w:rPr>
                <w:rFonts w:ascii="Arial" w:eastAsia="Arial" w:hAnsi="Arial" w:cs="Arial"/>
                <w:sz w:val="18"/>
                <w:szCs w:val="18"/>
              </w:rPr>
              <w:t>Type</w:t>
            </w:r>
          </w:p>
        </w:tc>
        <w:tc>
          <w:tcPr>
            <w:tcW w:w="1332" w:type="dxa"/>
            <w:tcBorders>
              <w:top w:val="nil"/>
              <w:left w:val="nil"/>
              <w:bottom w:val="nil"/>
              <w:right w:val="nil"/>
            </w:tcBorders>
            <w:shd w:val="clear" w:color="auto" w:fill="F2F2F2"/>
            <w:vAlign w:val="center"/>
          </w:tcPr>
          <w:p w:rsidR="00D44F08" w:rsidRDefault="00DB10A2">
            <w:pPr>
              <w:jc w:val="center"/>
              <w:rPr>
                <w:rFonts w:ascii="Arial" w:eastAsia="Arial" w:hAnsi="Arial" w:cs="Arial"/>
                <w:sz w:val="18"/>
                <w:szCs w:val="18"/>
              </w:rPr>
            </w:pPr>
            <w:r>
              <w:rPr>
                <w:rFonts w:ascii="Arial" w:eastAsia="Arial" w:hAnsi="Arial" w:cs="Arial"/>
                <w:sz w:val="18"/>
                <w:szCs w:val="18"/>
              </w:rPr>
              <w:t>Semester</w:t>
            </w:r>
          </w:p>
        </w:tc>
        <w:tc>
          <w:tcPr>
            <w:tcW w:w="1426" w:type="dxa"/>
            <w:tcBorders>
              <w:top w:val="nil"/>
              <w:left w:val="nil"/>
              <w:bottom w:val="nil"/>
              <w:right w:val="nil"/>
            </w:tcBorders>
            <w:shd w:val="clear" w:color="auto" w:fill="F2F2F2"/>
            <w:vAlign w:val="center"/>
          </w:tcPr>
          <w:p w:rsidR="00D44F08" w:rsidRDefault="00DB10A2">
            <w:pPr>
              <w:jc w:val="center"/>
              <w:rPr>
                <w:rFonts w:ascii="Arial" w:eastAsia="Arial" w:hAnsi="Arial" w:cs="Arial"/>
                <w:sz w:val="18"/>
                <w:szCs w:val="18"/>
              </w:rPr>
            </w:pPr>
            <w:r>
              <w:rPr>
                <w:rFonts w:ascii="Arial" w:eastAsia="Arial" w:hAnsi="Arial" w:cs="Arial"/>
                <w:sz w:val="18"/>
                <w:szCs w:val="18"/>
              </w:rPr>
              <w:t>ECTS</w:t>
            </w:r>
          </w:p>
        </w:tc>
        <w:tc>
          <w:tcPr>
            <w:tcW w:w="1792" w:type="dxa"/>
            <w:tcBorders>
              <w:top w:val="nil"/>
              <w:left w:val="nil"/>
              <w:bottom w:val="nil"/>
              <w:right w:val="single" w:sz="4" w:space="0" w:color="7F7F7F"/>
            </w:tcBorders>
            <w:shd w:val="clear" w:color="auto" w:fill="F2F2F2"/>
            <w:vAlign w:val="center"/>
          </w:tcPr>
          <w:p w:rsidR="00D44F08" w:rsidRDefault="00DB10A2">
            <w:pPr>
              <w:jc w:val="center"/>
              <w:rPr>
                <w:rFonts w:ascii="Arial" w:eastAsia="Arial" w:hAnsi="Arial" w:cs="Arial"/>
                <w:sz w:val="18"/>
                <w:szCs w:val="18"/>
              </w:rPr>
            </w:pPr>
            <w:r>
              <w:rPr>
                <w:rFonts w:ascii="Arial" w:eastAsia="Arial" w:hAnsi="Arial" w:cs="Arial"/>
                <w:sz w:val="18"/>
                <w:szCs w:val="18"/>
              </w:rPr>
              <w:t>Code</w:t>
            </w:r>
          </w:p>
        </w:tc>
      </w:tr>
      <w:tr w:rsidR="00D44F08">
        <w:trPr>
          <w:trHeight w:val="754"/>
        </w:trPr>
        <w:tc>
          <w:tcPr>
            <w:tcW w:w="1927" w:type="dxa"/>
            <w:vMerge/>
            <w:tcBorders>
              <w:top w:val="single" w:sz="4" w:space="0" w:color="7F7F7F"/>
              <w:left w:val="single" w:sz="4" w:space="0" w:color="7F7F7F"/>
              <w:bottom w:val="single" w:sz="6" w:space="0" w:color="7F7F7F"/>
              <w:right w:val="single" w:sz="4" w:space="0" w:color="7F7F7F"/>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sz w:val="18"/>
                <w:szCs w:val="18"/>
              </w:rPr>
            </w:pPr>
          </w:p>
        </w:tc>
        <w:tc>
          <w:tcPr>
            <w:tcW w:w="3550" w:type="dxa"/>
            <w:tcBorders>
              <w:top w:val="nil"/>
              <w:left w:val="single" w:sz="4" w:space="0" w:color="7F7F7F"/>
              <w:bottom w:val="single" w:sz="4" w:space="0" w:color="7F7F7F"/>
              <w:right w:val="nil"/>
            </w:tcBorders>
            <w:vAlign w:val="center"/>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ELECTIVE (E)</w:t>
            </w:r>
          </w:p>
          <w:p w:rsidR="00D44F08" w:rsidRDefault="00D44F08">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8</w:t>
            </w:r>
          </w:p>
        </w:tc>
        <w:tc>
          <w:tcPr>
            <w:tcW w:w="1426" w:type="dxa"/>
            <w:tcBorders>
              <w:top w:val="nil"/>
              <w:left w:val="nil"/>
              <w:bottom w:val="single" w:sz="4" w:space="0" w:color="7F7F7F"/>
              <w:right w:val="nil"/>
            </w:tcBorders>
            <w:vAlign w:val="center"/>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5</w:t>
            </w:r>
          </w:p>
        </w:tc>
        <w:tc>
          <w:tcPr>
            <w:tcW w:w="1792" w:type="dxa"/>
            <w:tcBorders>
              <w:top w:val="nil"/>
              <w:left w:val="nil"/>
              <w:bottom w:val="single" w:sz="4" w:space="0" w:color="7F7F7F"/>
              <w:right w:val="single" w:sz="4" w:space="0" w:color="7F7F7F"/>
            </w:tcBorders>
            <w:vAlign w:val="center"/>
          </w:tcPr>
          <w:p w:rsidR="00D44F08" w:rsidRDefault="00FA5B8D">
            <w:pPr>
              <w:jc w:val="center"/>
              <w:rPr>
                <w:rFonts w:ascii="Arial" w:eastAsia="Arial" w:hAnsi="Arial" w:cs="Arial"/>
                <w:color w:val="404040"/>
                <w:sz w:val="18"/>
                <w:szCs w:val="18"/>
              </w:rPr>
            </w:pPr>
            <w:r w:rsidRPr="00FA5B8D">
              <w:rPr>
                <w:rFonts w:ascii="Arial" w:eastAsia="Arial" w:hAnsi="Arial" w:cs="Arial"/>
                <w:color w:val="404040"/>
                <w:sz w:val="18"/>
                <w:szCs w:val="18"/>
              </w:rPr>
              <w:t>Law-B-077-E</w:t>
            </w:r>
          </w:p>
        </w:tc>
      </w:tr>
      <w:tr w:rsidR="00D44F08">
        <w:trPr>
          <w:trHeight w:val="754"/>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D44F08" w:rsidRDefault="00DB10A2">
            <w:pPr>
              <w:jc w:val="both"/>
              <w:rPr>
                <w:rFonts w:ascii="Arial" w:eastAsia="Arial" w:hAnsi="Arial" w:cs="Arial"/>
                <w:b/>
                <w:sz w:val="18"/>
                <w:szCs w:val="18"/>
              </w:rPr>
            </w:pPr>
            <w:r>
              <w:rPr>
                <w:rFonts w:ascii="Arial" w:eastAsia="Arial" w:hAnsi="Arial" w:cs="Arial"/>
                <w:b/>
                <w:sz w:val="18"/>
                <w:szCs w:val="18"/>
              </w:rPr>
              <w:t>The lecturer of the subject</w:t>
            </w:r>
          </w:p>
        </w:tc>
        <w:tc>
          <w:tcPr>
            <w:tcW w:w="3550" w:type="dxa"/>
            <w:tcBorders>
              <w:top w:val="nil"/>
              <w:left w:val="single" w:sz="4" w:space="0" w:color="7F7F7F"/>
              <w:bottom w:val="single" w:sz="4" w:space="0" w:color="7F7F7F"/>
              <w:right w:val="nil"/>
            </w:tcBorders>
            <w:vAlign w:val="center"/>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xml:space="preserve">Ass. </w:t>
            </w:r>
            <w:proofErr w:type="spellStart"/>
            <w:r>
              <w:rPr>
                <w:rFonts w:ascii="Arial" w:eastAsia="Arial" w:hAnsi="Arial" w:cs="Arial"/>
                <w:color w:val="404040"/>
                <w:sz w:val="18"/>
                <w:szCs w:val="18"/>
              </w:rPr>
              <w:t>Prof.</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Dr.</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Bashkim</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Nuredini</w:t>
            </w:r>
            <w:proofErr w:type="spellEnd"/>
          </w:p>
        </w:tc>
        <w:tc>
          <w:tcPr>
            <w:tcW w:w="1332" w:type="dxa"/>
            <w:tcBorders>
              <w:top w:val="nil"/>
              <w:left w:val="nil"/>
              <w:bottom w:val="single" w:sz="4" w:space="0" w:color="7F7F7F"/>
              <w:right w:val="nil"/>
            </w:tcBorders>
            <w:vAlign w:val="center"/>
          </w:tcPr>
          <w:p w:rsidR="00D44F08" w:rsidRDefault="00D44F08">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D44F08" w:rsidRDefault="00D44F08">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D44F08" w:rsidRDefault="00D44F08">
            <w:pPr>
              <w:jc w:val="center"/>
              <w:rPr>
                <w:rFonts w:ascii="Arial" w:eastAsia="Arial" w:hAnsi="Arial" w:cs="Arial"/>
                <w:color w:val="404040"/>
                <w:sz w:val="18"/>
                <w:szCs w:val="18"/>
              </w:rPr>
            </w:pPr>
          </w:p>
          <w:p w:rsidR="00D44F08" w:rsidRDefault="00D44F08">
            <w:pPr>
              <w:jc w:val="center"/>
              <w:rPr>
                <w:rFonts w:ascii="Arial" w:eastAsia="Arial" w:hAnsi="Arial" w:cs="Arial"/>
                <w:color w:val="404040"/>
                <w:sz w:val="18"/>
                <w:szCs w:val="18"/>
              </w:rPr>
            </w:pPr>
          </w:p>
          <w:p w:rsidR="00D44F08" w:rsidRDefault="00D44F08">
            <w:pPr>
              <w:jc w:val="center"/>
              <w:rPr>
                <w:rFonts w:ascii="Arial" w:eastAsia="Arial" w:hAnsi="Arial" w:cs="Arial"/>
                <w:color w:val="404040"/>
                <w:sz w:val="18"/>
                <w:szCs w:val="18"/>
              </w:rPr>
            </w:pPr>
          </w:p>
        </w:tc>
      </w:tr>
      <w:tr w:rsidR="00D44F08">
        <w:trPr>
          <w:trHeight w:val="615"/>
        </w:trPr>
        <w:tc>
          <w:tcPr>
            <w:tcW w:w="1927" w:type="dxa"/>
            <w:tcBorders>
              <w:top w:val="single" w:sz="6" w:space="0" w:color="7F7F7F"/>
              <w:left w:val="single" w:sz="4" w:space="0" w:color="7F7F7F"/>
              <w:bottom w:val="single" w:sz="4" w:space="0" w:color="7F7F7F"/>
              <w:right w:val="single" w:sz="4" w:space="0" w:color="7F7F7F"/>
            </w:tcBorders>
            <w:shd w:val="clear" w:color="auto" w:fill="D9E2F3"/>
            <w:vAlign w:val="center"/>
          </w:tcPr>
          <w:p w:rsidR="00D44F08" w:rsidRDefault="00D44F08">
            <w:pPr>
              <w:jc w:val="both"/>
              <w:rPr>
                <w:rFonts w:ascii="Arial" w:eastAsia="Arial" w:hAnsi="Arial" w:cs="Arial"/>
                <w:b/>
                <w:sz w:val="18"/>
                <w:szCs w:val="18"/>
              </w:rPr>
            </w:pPr>
          </w:p>
        </w:tc>
        <w:tc>
          <w:tcPr>
            <w:tcW w:w="3550" w:type="dxa"/>
            <w:tcBorders>
              <w:top w:val="nil"/>
              <w:left w:val="single" w:sz="4" w:space="0" w:color="7F7F7F"/>
              <w:bottom w:val="single" w:sz="4" w:space="0" w:color="7F7F7F"/>
              <w:right w:val="nil"/>
            </w:tcBorders>
            <w:vAlign w:val="center"/>
          </w:tcPr>
          <w:p w:rsidR="00D44F08" w:rsidRDefault="00D44F08">
            <w:pPr>
              <w:jc w:val="both"/>
              <w:rPr>
                <w:rFonts w:ascii="Arial" w:eastAsia="Arial" w:hAnsi="Arial" w:cs="Arial"/>
                <w:color w:val="404040"/>
                <w:sz w:val="18"/>
                <w:szCs w:val="18"/>
              </w:rPr>
            </w:pPr>
          </w:p>
        </w:tc>
        <w:tc>
          <w:tcPr>
            <w:tcW w:w="1332" w:type="dxa"/>
            <w:tcBorders>
              <w:top w:val="nil"/>
              <w:left w:val="nil"/>
              <w:bottom w:val="single" w:sz="4" w:space="0" w:color="7F7F7F"/>
              <w:right w:val="nil"/>
            </w:tcBorders>
            <w:vAlign w:val="center"/>
          </w:tcPr>
          <w:p w:rsidR="00D44F08" w:rsidRDefault="00D44F08">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vAlign w:val="center"/>
          </w:tcPr>
          <w:p w:rsidR="00D44F08" w:rsidRDefault="00D44F08">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vAlign w:val="center"/>
          </w:tcPr>
          <w:p w:rsidR="00D44F08" w:rsidRDefault="00D44F08">
            <w:pPr>
              <w:jc w:val="center"/>
              <w:rPr>
                <w:rFonts w:ascii="Arial" w:eastAsia="Arial" w:hAnsi="Arial" w:cs="Arial"/>
                <w:color w:val="404040"/>
                <w:sz w:val="18"/>
                <w:szCs w:val="18"/>
              </w:rPr>
            </w:pPr>
          </w:p>
        </w:tc>
      </w:tr>
      <w:tr w:rsidR="00D44F08">
        <w:tc>
          <w:tcPr>
            <w:tcW w:w="1927" w:type="dxa"/>
            <w:tcBorders>
              <w:top w:val="single" w:sz="4" w:space="0" w:color="7F7F7F"/>
              <w:left w:val="single" w:sz="4" w:space="0" w:color="7F7F7F"/>
              <w:bottom w:val="single" w:sz="4" w:space="0" w:color="7F7F7F"/>
              <w:right w:val="nil"/>
            </w:tcBorders>
            <w:shd w:val="clear" w:color="auto" w:fill="D9E2F3"/>
            <w:vAlign w:val="center"/>
          </w:tcPr>
          <w:p w:rsidR="00D44F08" w:rsidRDefault="00DB10A2">
            <w:pPr>
              <w:jc w:val="both"/>
              <w:rPr>
                <w:rFonts w:ascii="Arial" w:eastAsia="Arial" w:hAnsi="Arial" w:cs="Arial"/>
                <w:b/>
                <w:sz w:val="18"/>
                <w:szCs w:val="18"/>
              </w:rPr>
            </w:pPr>
            <w:r>
              <w:rPr>
                <w:rFonts w:ascii="Arial" w:eastAsia="Arial" w:hAnsi="Arial" w:cs="Arial"/>
                <w:b/>
                <w:sz w:val="18"/>
                <w:szCs w:val="18"/>
              </w:rPr>
              <w:t>Aims and Objectives</w:t>
            </w:r>
          </w:p>
        </w:tc>
        <w:tc>
          <w:tcPr>
            <w:tcW w:w="8100" w:type="dxa"/>
            <w:gridSpan w:val="4"/>
            <w:tcBorders>
              <w:top w:val="single" w:sz="4" w:space="0" w:color="7F7F7F"/>
              <w:left w:val="nil"/>
              <w:bottom w:val="single" w:sz="4" w:space="0" w:color="7F7F7F"/>
              <w:right w:val="single" w:sz="4" w:space="0" w:color="7F7F7F"/>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xml:space="preserve">Legal subjects almost every day entered into different legal-business relations. It would be an ideal in the legal-business circulation if the subjects of the law in general adhere to the </w:t>
            </w:r>
            <w:proofErr w:type="spellStart"/>
            <w:r>
              <w:rPr>
                <w:rFonts w:ascii="Arial" w:eastAsia="Arial" w:hAnsi="Arial" w:cs="Arial"/>
                <w:color w:val="404040"/>
                <w:sz w:val="18"/>
                <w:szCs w:val="18"/>
              </w:rPr>
              <w:t>Pacta</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Sund</w:t>
            </w:r>
            <w:proofErr w:type="spellEnd"/>
            <w:r>
              <w:rPr>
                <w:rFonts w:ascii="Arial" w:eastAsia="Arial" w:hAnsi="Arial" w:cs="Arial"/>
                <w:color w:val="404040"/>
                <w:sz w:val="18"/>
                <w:szCs w:val="18"/>
              </w:rPr>
              <w:t xml:space="preserve"> </w:t>
            </w:r>
            <w:proofErr w:type="spellStart"/>
            <w:r>
              <w:rPr>
                <w:rFonts w:ascii="Arial" w:eastAsia="Arial" w:hAnsi="Arial" w:cs="Arial"/>
                <w:color w:val="404040"/>
                <w:sz w:val="18"/>
                <w:szCs w:val="18"/>
              </w:rPr>
              <w:t>Servanda</w:t>
            </w:r>
            <w:proofErr w:type="spellEnd"/>
            <w:r>
              <w:rPr>
                <w:rFonts w:ascii="Arial" w:eastAsia="Arial" w:hAnsi="Arial" w:cs="Arial"/>
                <w:color w:val="404040"/>
                <w:sz w:val="18"/>
                <w:szCs w:val="18"/>
              </w:rPr>
              <w:t xml:space="preserve"> principle. However, it often</w:t>
            </w:r>
            <w:r>
              <w:rPr>
                <w:rFonts w:ascii="Arial" w:eastAsia="Arial" w:hAnsi="Arial" w:cs="Arial"/>
                <w:color w:val="404040"/>
                <w:sz w:val="18"/>
                <w:szCs w:val="18"/>
              </w:rPr>
              <w:t xml:space="preserve"> happens that business entities, either in the sphere of national or international business circulation, do not fully or partially implement contractual obligations. Therefore, as a result of these actions, commercial disputes also arise. Also, even within</w:t>
            </w:r>
            <w:r>
              <w:rPr>
                <w:rFonts w:ascii="Arial" w:eastAsia="Arial" w:hAnsi="Arial" w:cs="Arial"/>
                <w:color w:val="404040"/>
                <w:sz w:val="18"/>
                <w:szCs w:val="18"/>
              </w:rPr>
              <w:t xml:space="preserve"> the corporations themselves, disputes arise among the actors of the corporate structure that include disputes between the Board of Directors and shareholders, the Board and management, management and employees, the company and interested parties.</w:t>
            </w:r>
          </w:p>
          <w:p w:rsidR="00D44F08" w:rsidRDefault="00D44F08">
            <w:pPr>
              <w:jc w:val="both"/>
              <w:rPr>
                <w:rFonts w:ascii="Arial" w:eastAsia="Arial" w:hAnsi="Arial" w:cs="Arial"/>
                <w:color w:val="404040"/>
                <w:sz w:val="18"/>
                <w:szCs w:val="18"/>
              </w:rPr>
            </w:pP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xml:space="preserve">Today, </w:t>
            </w:r>
            <w:r>
              <w:rPr>
                <w:rFonts w:ascii="Arial" w:eastAsia="Arial" w:hAnsi="Arial" w:cs="Arial"/>
                <w:color w:val="404040"/>
                <w:sz w:val="18"/>
                <w:szCs w:val="18"/>
              </w:rPr>
              <w:t>the ways of resolving disputes, especially commercial disputes, are many and varied. This is how we distinguish: the settlement of disputes in a peaceful way, with reconciliation, the settlement of disputes by regular state courts, by supranational institu</w:t>
            </w:r>
            <w:r>
              <w:rPr>
                <w:rFonts w:ascii="Arial" w:eastAsia="Arial" w:hAnsi="Arial" w:cs="Arial"/>
                <w:color w:val="404040"/>
                <w:sz w:val="18"/>
                <w:szCs w:val="18"/>
              </w:rPr>
              <w:t>tional courts with a regional or universal character, the settlement of disputes through non-state bodies - alternative methods of dispute settlement include negotiation, mediation, arbitration, etc.</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The aims of the subject are:</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Understanding and familia</w:t>
            </w:r>
            <w:r>
              <w:rPr>
                <w:rFonts w:ascii="Arial" w:eastAsia="Arial" w:hAnsi="Arial" w:cs="Arial"/>
                <w:color w:val="404040"/>
                <w:sz w:val="18"/>
                <w:szCs w:val="18"/>
              </w:rPr>
              <w:t>rity with the legal nature of commercial disputes;</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Analytical explanation of the conflict of interest between the main actors within the corporation;</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Theoretical and practical preparation that enables students to expand the horizon of their knowledge in the field of providing legal assistance in commercial disputes;</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Providing the most optimal alternatives in the solution of corporate connections;</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xml:space="preserve">- </w:t>
            </w:r>
            <w:r>
              <w:rPr>
                <w:rFonts w:ascii="Arial" w:eastAsia="Arial" w:hAnsi="Arial" w:cs="Arial"/>
                <w:color w:val="404040"/>
                <w:sz w:val="18"/>
                <w:szCs w:val="18"/>
              </w:rPr>
              <w:t>Application of knowledge related to procedures involving mergers, acquisitions, corporate bankruptcy.</w:t>
            </w:r>
          </w:p>
          <w:p w:rsidR="00D44F08" w:rsidRDefault="00D44F08">
            <w:pPr>
              <w:jc w:val="both"/>
              <w:rPr>
                <w:rFonts w:ascii="Arial" w:eastAsia="Arial" w:hAnsi="Arial" w:cs="Arial"/>
                <w:color w:val="404040"/>
                <w:sz w:val="18"/>
                <w:szCs w:val="18"/>
              </w:rPr>
            </w:pP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Cases we handle include:</w:t>
            </w:r>
          </w:p>
          <w:p w:rsidR="00D44F08" w:rsidRDefault="00D44F08">
            <w:pPr>
              <w:jc w:val="both"/>
              <w:rPr>
                <w:rFonts w:ascii="Arial" w:eastAsia="Arial" w:hAnsi="Arial" w:cs="Arial"/>
                <w:color w:val="404040"/>
                <w:sz w:val="18"/>
                <w:szCs w:val="18"/>
              </w:rPr>
            </w:pP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accountability of directors, supervisory directors and shareholders;</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disputes between shareholders and the company;</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dispu</w:t>
            </w:r>
            <w:r>
              <w:rPr>
                <w:rFonts w:ascii="Arial" w:eastAsia="Arial" w:hAnsi="Arial" w:cs="Arial"/>
                <w:color w:val="404040"/>
                <w:sz w:val="18"/>
                <w:szCs w:val="18"/>
              </w:rPr>
              <w:t>tes between shareholders;</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power and decision-making within a company;</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appointment and dismissal of directors and supervisory directors;</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 xml:space="preserve">- </w:t>
            </w:r>
            <w:proofErr w:type="gramStart"/>
            <w:r>
              <w:rPr>
                <w:rFonts w:ascii="Arial" w:eastAsia="Arial" w:hAnsi="Arial" w:cs="Arial"/>
                <w:color w:val="404040"/>
                <w:sz w:val="18"/>
                <w:szCs w:val="18"/>
              </w:rPr>
              <w:t>procedures</w:t>
            </w:r>
            <w:proofErr w:type="gramEnd"/>
            <w:r>
              <w:rPr>
                <w:rFonts w:ascii="Arial" w:eastAsia="Arial" w:hAnsi="Arial" w:cs="Arial"/>
                <w:color w:val="404040"/>
                <w:sz w:val="18"/>
                <w:szCs w:val="18"/>
              </w:rPr>
              <w:t xml:space="preserve"> related to acquisitions, mergers, mergers, conversions, bankruptcy of corporations.</w:t>
            </w:r>
          </w:p>
        </w:tc>
      </w:tr>
      <w:tr w:rsidR="00D44F08">
        <w:tc>
          <w:tcPr>
            <w:tcW w:w="1927" w:type="dxa"/>
            <w:tcBorders>
              <w:top w:val="single" w:sz="4" w:space="0" w:color="7F7F7F"/>
              <w:left w:val="single" w:sz="4" w:space="0" w:color="7F7F7F"/>
              <w:bottom w:val="single" w:sz="4" w:space="0" w:color="7F7F7F"/>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t>Learning outcomes</w:t>
            </w:r>
          </w:p>
        </w:tc>
        <w:tc>
          <w:tcPr>
            <w:tcW w:w="8100" w:type="dxa"/>
            <w:gridSpan w:val="4"/>
            <w:tcBorders>
              <w:top w:val="single" w:sz="4" w:space="0" w:color="7F7F7F"/>
              <w:left w:val="nil"/>
              <w:bottom w:val="single" w:sz="4" w:space="0" w:color="7F7F7F"/>
              <w:right w:val="single" w:sz="4" w:space="0" w:color="7F7F7F"/>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After completing this course, students should be able to:</w:t>
            </w:r>
          </w:p>
          <w:p w:rsidR="00D44F08" w:rsidRDefault="00DB10A2">
            <w:pPr>
              <w:ind w:left="720"/>
              <w:jc w:val="both"/>
              <w:rPr>
                <w:rFonts w:ascii="Arial" w:eastAsia="Arial" w:hAnsi="Arial" w:cs="Arial"/>
                <w:color w:val="404040"/>
                <w:sz w:val="18"/>
                <w:szCs w:val="18"/>
              </w:rPr>
            </w:pPr>
            <w:r>
              <w:rPr>
                <w:rFonts w:ascii="Arial" w:eastAsia="Arial" w:hAnsi="Arial" w:cs="Arial"/>
                <w:color w:val="404040"/>
                <w:sz w:val="18"/>
                <w:szCs w:val="18"/>
              </w:rPr>
              <w:t>• Demonstrate a more detailed understanding of corporate disputes;</w:t>
            </w:r>
          </w:p>
          <w:p w:rsidR="00D44F08" w:rsidRDefault="00DB10A2">
            <w:pPr>
              <w:ind w:left="720"/>
              <w:jc w:val="both"/>
              <w:rPr>
                <w:rFonts w:ascii="Arial" w:eastAsia="Arial" w:hAnsi="Arial" w:cs="Arial"/>
                <w:color w:val="404040"/>
                <w:sz w:val="18"/>
                <w:szCs w:val="18"/>
              </w:rPr>
            </w:pPr>
            <w:r>
              <w:rPr>
                <w:rFonts w:ascii="Arial" w:eastAsia="Arial" w:hAnsi="Arial" w:cs="Arial"/>
                <w:color w:val="404040"/>
                <w:sz w:val="18"/>
                <w:szCs w:val="18"/>
              </w:rPr>
              <w:t>• Identify and correctly analyse many legal issues related to corporate litigation;</w:t>
            </w:r>
          </w:p>
          <w:p w:rsidR="00D44F08" w:rsidRDefault="00DB10A2">
            <w:pPr>
              <w:ind w:left="720"/>
              <w:jc w:val="both"/>
              <w:rPr>
                <w:rFonts w:ascii="Arial" w:eastAsia="Arial" w:hAnsi="Arial" w:cs="Arial"/>
                <w:color w:val="404040"/>
                <w:sz w:val="18"/>
                <w:szCs w:val="18"/>
              </w:rPr>
            </w:pPr>
            <w:r>
              <w:rPr>
                <w:rFonts w:ascii="Arial" w:eastAsia="Arial" w:hAnsi="Arial" w:cs="Arial"/>
                <w:color w:val="404040"/>
                <w:sz w:val="18"/>
                <w:szCs w:val="18"/>
              </w:rPr>
              <w:t xml:space="preserve">• Understand the mechanisms for the resolution of corporate </w:t>
            </w:r>
            <w:proofErr w:type="spellStart"/>
            <w:r>
              <w:rPr>
                <w:rFonts w:ascii="Arial" w:eastAsia="Arial" w:hAnsi="Arial" w:cs="Arial"/>
                <w:color w:val="404040"/>
                <w:sz w:val="18"/>
                <w:szCs w:val="18"/>
              </w:rPr>
              <w:t>corporate</w:t>
            </w:r>
            <w:proofErr w:type="spellEnd"/>
            <w:r>
              <w:rPr>
                <w:rFonts w:ascii="Arial" w:eastAsia="Arial" w:hAnsi="Arial" w:cs="Arial"/>
                <w:color w:val="404040"/>
                <w:sz w:val="18"/>
                <w:szCs w:val="18"/>
              </w:rPr>
              <w:t xml:space="preserve"> disputes, including the role of the Court for the resolution of corporate issues as well as Alternative Dispute Resolution Mechanisms;</w:t>
            </w:r>
          </w:p>
          <w:p w:rsidR="00D44F08" w:rsidRDefault="00DB10A2">
            <w:pPr>
              <w:ind w:left="720"/>
              <w:jc w:val="both"/>
              <w:rPr>
                <w:rFonts w:ascii="Arial" w:eastAsia="Arial" w:hAnsi="Arial" w:cs="Arial"/>
                <w:color w:val="404040"/>
                <w:sz w:val="18"/>
                <w:szCs w:val="18"/>
              </w:rPr>
            </w:pPr>
            <w:r>
              <w:rPr>
                <w:rFonts w:ascii="Arial" w:eastAsia="Arial" w:hAnsi="Arial" w:cs="Arial"/>
                <w:color w:val="404040"/>
                <w:sz w:val="18"/>
                <w:szCs w:val="18"/>
              </w:rPr>
              <w:t>• Offer the most optimal solutions in corporate dis</w:t>
            </w:r>
            <w:r>
              <w:rPr>
                <w:rFonts w:ascii="Arial" w:eastAsia="Arial" w:hAnsi="Arial" w:cs="Arial"/>
                <w:color w:val="404040"/>
                <w:sz w:val="18"/>
                <w:szCs w:val="18"/>
              </w:rPr>
              <w:t>putes;</w:t>
            </w:r>
          </w:p>
          <w:p w:rsidR="00D44F08" w:rsidRDefault="00DB10A2">
            <w:pPr>
              <w:ind w:left="720"/>
              <w:jc w:val="both"/>
              <w:rPr>
                <w:rFonts w:ascii="Arial" w:eastAsia="Arial" w:hAnsi="Arial" w:cs="Arial"/>
                <w:color w:val="404040"/>
                <w:sz w:val="18"/>
                <w:szCs w:val="18"/>
              </w:rPr>
            </w:pPr>
            <w:r>
              <w:rPr>
                <w:rFonts w:ascii="Arial" w:eastAsia="Arial" w:hAnsi="Arial" w:cs="Arial"/>
                <w:color w:val="404040"/>
                <w:sz w:val="18"/>
                <w:szCs w:val="18"/>
              </w:rPr>
              <w:t>• Apply the acquired knowledge regarding the legal consequences for the business during the development of the administrative and judicial bankruptcy process.</w:t>
            </w:r>
          </w:p>
          <w:p w:rsidR="00D44F08" w:rsidRDefault="00D44F08">
            <w:pPr>
              <w:ind w:left="720"/>
              <w:jc w:val="both"/>
              <w:rPr>
                <w:rFonts w:ascii="Arial" w:eastAsia="Arial" w:hAnsi="Arial" w:cs="Arial"/>
                <w:color w:val="404040"/>
                <w:sz w:val="18"/>
                <w:szCs w:val="18"/>
              </w:rPr>
            </w:pPr>
          </w:p>
        </w:tc>
      </w:tr>
      <w:tr w:rsidR="00D44F08">
        <w:trPr>
          <w:trHeight w:val="262"/>
        </w:trPr>
        <w:tc>
          <w:tcPr>
            <w:tcW w:w="1927" w:type="dxa"/>
            <w:vMerge w:val="restart"/>
            <w:tcBorders>
              <w:top w:val="single" w:sz="4" w:space="0" w:color="7F7F7F"/>
              <w:left w:val="single" w:sz="4" w:space="0" w:color="7F7F7F"/>
              <w:bottom w:val="nil"/>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lastRenderedPageBreak/>
              <w:t>Content</w:t>
            </w:r>
          </w:p>
        </w:tc>
        <w:tc>
          <w:tcPr>
            <w:tcW w:w="6308" w:type="dxa"/>
            <w:gridSpan w:val="3"/>
            <w:tcBorders>
              <w:top w:val="single" w:sz="4" w:space="0" w:color="7F7F7F"/>
              <w:left w:val="nil"/>
              <w:bottom w:val="nil"/>
              <w:right w:val="nil"/>
            </w:tcBorders>
            <w:shd w:val="clear" w:color="auto" w:fill="F2F2F2"/>
          </w:tcPr>
          <w:p w:rsidR="00D44F08" w:rsidRDefault="00DB10A2">
            <w:pPr>
              <w:rPr>
                <w:rFonts w:ascii="Arial" w:eastAsia="Arial" w:hAnsi="Arial" w:cs="Arial"/>
                <w:b/>
                <w:sz w:val="18"/>
                <w:szCs w:val="18"/>
              </w:rPr>
            </w:pPr>
            <w:r>
              <w:rPr>
                <w:rFonts w:ascii="Arial" w:eastAsia="Arial" w:hAnsi="Arial" w:cs="Arial"/>
                <w:b/>
                <w:sz w:val="18"/>
                <w:szCs w:val="18"/>
              </w:rPr>
              <w:t>Weekly plan</w:t>
            </w:r>
          </w:p>
        </w:tc>
        <w:tc>
          <w:tcPr>
            <w:tcW w:w="1792" w:type="dxa"/>
            <w:tcBorders>
              <w:top w:val="single" w:sz="4" w:space="0" w:color="7F7F7F"/>
              <w:left w:val="nil"/>
              <w:bottom w:val="nil"/>
              <w:right w:val="single" w:sz="4" w:space="0" w:color="7F7F7F"/>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Week</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Introduction to the subject of Corporate Disputes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Entities that create commercial relationships, potentially also commercial disputes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Commercial companies as subjects of commercial law</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3</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Governance of commercial companies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4</w:t>
            </w:r>
          </w:p>
        </w:tc>
      </w:tr>
      <w:tr w:rsidR="00D44F08">
        <w:trPr>
          <w:trHeight w:val="432"/>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Mergers and acquisitions of commercial companies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5</w:t>
            </w:r>
          </w:p>
        </w:tc>
      </w:tr>
      <w:tr w:rsidR="00D44F08">
        <w:trPr>
          <w:trHeight w:val="297"/>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Prohibited agreements and protection of competition</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6</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Intermediate exam I</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7</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Contracts of employment, including non-compete agreements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8</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Judicial settlement of corporate disputes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9</w:t>
            </w:r>
          </w:p>
        </w:tc>
      </w:tr>
      <w:tr w:rsidR="00D44F08">
        <w:trPr>
          <w:trHeight w:val="423"/>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Alternative Commercial Dispute Resolution Mechanisms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10</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rPr>
                <w:rFonts w:ascii="Arial" w:eastAsia="Arial" w:hAnsi="Arial" w:cs="Arial"/>
                <w:color w:val="404040"/>
                <w:sz w:val="18"/>
                <w:szCs w:val="18"/>
              </w:rPr>
            </w:pPr>
            <w:r>
              <w:rPr>
                <w:rFonts w:ascii="Arial" w:eastAsia="Arial" w:hAnsi="Arial" w:cs="Arial"/>
                <w:color w:val="404040"/>
                <w:sz w:val="18"/>
                <w:szCs w:val="18"/>
              </w:rPr>
              <w:t>Bankruptcy Procedure</w:t>
            </w:r>
          </w:p>
          <w:p w:rsidR="00D44F08" w:rsidRDefault="00D44F08">
            <w:pPr>
              <w:jc w:val="both"/>
              <w:rPr>
                <w:rFonts w:ascii="Arial" w:eastAsia="Arial" w:hAnsi="Arial" w:cs="Arial"/>
                <w:color w:val="404040"/>
                <w:sz w:val="18"/>
                <w:szCs w:val="18"/>
              </w:rPr>
            </w:pP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11</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bookmarkStart w:id="0" w:name="_heading=h.gjdgxs" w:colFirst="0" w:colLast="0"/>
            <w:bookmarkEnd w:id="0"/>
            <w:r>
              <w:rPr>
                <w:rFonts w:ascii="Arial" w:eastAsia="Arial" w:hAnsi="Arial" w:cs="Arial"/>
                <w:color w:val="404040"/>
                <w:sz w:val="18"/>
                <w:szCs w:val="18"/>
              </w:rPr>
              <w:t>Reorganisation and liquidation</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12</w:t>
            </w:r>
          </w:p>
        </w:tc>
      </w:tr>
      <w:tr w:rsidR="00D44F08">
        <w:trPr>
          <w:trHeight w:val="288"/>
        </w:trPr>
        <w:tc>
          <w:tcPr>
            <w:tcW w:w="1927" w:type="dxa"/>
            <w:tcBorders>
              <w:top w:val="nil"/>
              <w:left w:val="single" w:sz="4" w:space="0" w:color="7F7F7F"/>
              <w:bottom w:val="nil"/>
              <w:right w:val="nil"/>
            </w:tcBorders>
            <w:shd w:val="clear" w:color="auto" w:fill="D9E2F3"/>
            <w:vAlign w:val="center"/>
          </w:tcPr>
          <w:p w:rsidR="00D44F08" w:rsidRDefault="00D44F08">
            <w:pPr>
              <w:rPr>
                <w:rFonts w:ascii="Arial" w:eastAsia="Arial" w:hAnsi="Arial" w:cs="Arial"/>
                <w:sz w:val="18"/>
                <w:szCs w:val="18"/>
              </w:rPr>
            </w:pPr>
          </w:p>
        </w:tc>
        <w:tc>
          <w:tcPr>
            <w:tcW w:w="6308" w:type="dxa"/>
            <w:gridSpan w:val="3"/>
            <w:tcBorders>
              <w:top w:val="nil"/>
              <w:left w:val="nil"/>
              <w:bottom w:val="nil"/>
              <w:right w:val="nil"/>
            </w:tcBorders>
          </w:tcPr>
          <w:p w:rsidR="00D44F08" w:rsidRDefault="00DB10A2">
            <w:pPr>
              <w:rPr>
                <w:rFonts w:ascii="Arial" w:eastAsia="Arial" w:hAnsi="Arial" w:cs="Arial"/>
                <w:color w:val="404040"/>
                <w:sz w:val="18"/>
                <w:szCs w:val="18"/>
              </w:rPr>
            </w:pPr>
            <w:r>
              <w:rPr>
                <w:rFonts w:ascii="Arial" w:eastAsia="Arial" w:hAnsi="Arial" w:cs="Arial"/>
                <w:color w:val="404040"/>
                <w:sz w:val="18"/>
                <w:szCs w:val="18"/>
              </w:rPr>
              <w:t>Preventive strategies for intellectual property protection</w:t>
            </w:r>
          </w:p>
        </w:tc>
        <w:tc>
          <w:tcPr>
            <w:tcW w:w="1792" w:type="dxa"/>
            <w:tcBorders>
              <w:top w:val="nil"/>
              <w:left w:val="nil"/>
              <w:bottom w:val="nil"/>
              <w:right w:val="single" w:sz="4" w:space="0" w:color="7F7F7F"/>
            </w:tcBorders>
          </w:tcPr>
          <w:p w:rsidR="00D44F08" w:rsidRDefault="00DB10A2">
            <w:pPr>
              <w:rPr>
                <w:rFonts w:ascii="Arial" w:eastAsia="Arial" w:hAnsi="Arial" w:cs="Arial"/>
                <w:color w:val="404040"/>
                <w:sz w:val="18"/>
                <w:szCs w:val="18"/>
              </w:rPr>
            </w:pPr>
            <w:r>
              <w:rPr>
                <w:rFonts w:ascii="Arial" w:eastAsia="Arial" w:hAnsi="Arial" w:cs="Arial"/>
                <w:color w:val="404040"/>
                <w:sz w:val="18"/>
                <w:szCs w:val="18"/>
              </w:rPr>
              <w:t xml:space="preserve">              13</w:t>
            </w:r>
          </w:p>
        </w:tc>
      </w:tr>
      <w:tr w:rsidR="00D44F08">
        <w:trPr>
          <w:trHeight w:val="819"/>
        </w:trPr>
        <w:tc>
          <w:tcPr>
            <w:tcW w:w="1927" w:type="dxa"/>
            <w:tcBorders>
              <w:top w:val="nil"/>
              <w:left w:val="single" w:sz="4" w:space="0" w:color="7F7F7F"/>
              <w:bottom w:val="nil"/>
              <w:right w:val="nil"/>
            </w:tcBorders>
            <w:shd w:val="clear" w:color="auto" w:fill="D9E2F3"/>
            <w:vAlign w:val="center"/>
          </w:tcPr>
          <w:p w:rsidR="00D44F08" w:rsidRDefault="00D44F08">
            <w:pPr>
              <w:rPr>
                <w:rFonts w:ascii="Arial" w:eastAsia="Arial" w:hAnsi="Arial" w:cs="Arial"/>
                <w:sz w:val="18"/>
                <w:szCs w:val="18"/>
              </w:rPr>
            </w:pPr>
          </w:p>
        </w:tc>
        <w:tc>
          <w:tcPr>
            <w:tcW w:w="6308" w:type="dxa"/>
            <w:gridSpan w:val="3"/>
            <w:tcBorders>
              <w:top w:val="nil"/>
              <w:left w:val="nil"/>
              <w:bottom w:val="nil"/>
              <w:right w:val="nil"/>
            </w:tcBorders>
          </w:tcPr>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Intermediate exam II</w:t>
            </w:r>
          </w:p>
          <w:p w:rsidR="00D44F08" w:rsidRDefault="00DB10A2">
            <w:pPr>
              <w:jc w:val="both"/>
              <w:rPr>
                <w:rFonts w:ascii="Arial" w:eastAsia="Arial" w:hAnsi="Arial" w:cs="Arial"/>
                <w:color w:val="404040"/>
                <w:sz w:val="18"/>
                <w:szCs w:val="18"/>
              </w:rPr>
            </w:pPr>
            <w:r>
              <w:rPr>
                <w:rFonts w:ascii="Arial" w:eastAsia="Arial" w:hAnsi="Arial" w:cs="Arial"/>
                <w:color w:val="404040"/>
                <w:sz w:val="18"/>
                <w:szCs w:val="18"/>
              </w:rPr>
              <w:t>Final exam</w:t>
            </w:r>
          </w:p>
        </w:tc>
        <w:tc>
          <w:tcPr>
            <w:tcW w:w="1792" w:type="dxa"/>
            <w:tcBorders>
              <w:top w:val="nil"/>
              <w:left w:val="nil"/>
              <w:bottom w:val="nil"/>
              <w:right w:val="single" w:sz="4" w:space="0" w:color="7F7F7F"/>
            </w:tcBorders>
          </w:tcPr>
          <w:p w:rsidR="00D44F08" w:rsidRDefault="00DB10A2">
            <w:pPr>
              <w:rPr>
                <w:rFonts w:ascii="Arial" w:eastAsia="Arial" w:hAnsi="Arial" w:cs="Arial"/>
                <w:color w:val="404040"/>
                <w:sz w:val="18"/>
                <w:szCs w:val="18"/>
              </w:rPr>
            </w:pPr>
            <w:r>
              <w:rPr>
                <w:rFonts w:ascii="Arial" w:eastAsia="Arial" w:hAnsi="Arial" w:cs="Arial"/>
                <w:color w:val="404040"/>
                <w:sz w:val="18"/>
                <w:szCs w:val="18"/>
              </w:rPr>
              <w:t xml:space="preserve">              14</w:t>
            </w:r>
          </w:p>
          <w:p w:rsidR="00D44F08" w:rsidRDefault="00DB10A2">
            <w:pPr>
              <w:rPr>
                <w:rFonts w:ascii="Arial" w:eastAsia="Arial" w:hAnsi="Arial" w:cs="Arial"/>
                <w:color w:val="404040"/>
                <w:sz w:val="18"/>
                <w:szCs w:val="18"/>
              </w:rPr>
            </w:pPr>
            <w:r>
              <w:rPr>
                <w:rFonts w:ascii="Arial" w:eastAsia="Arial" w:hAnsi="Arial" w:cs="Arial"/>
                <w:color w:val="404040"/>
                <w:sz w:val="18"/>
                <w:szCs w:val="18"/>
              </w:rPr>
              <w:t xml:space="preserve">              15</w:t>
            </w:r>
          </w:p>
        </w:tc>
      </w:tr>
      <w:tr w:rsidR="00D44F08">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t>Teaching/Learning</w:t>
            </w:r>
          </w:p>
          <w:p w:rsidR="00D44F08" w:rsidRDefault="00DB10A2">
            <w:pPr>
              <w:rPr>
                <w:rFonts w:ascii="Arial" w:eastAsia="Arial" w:hAnsi="Arial" w:cs="Arial"/>
                <w:b/>
                <w:sz w:val="18"/>
                <w:szCs w:val="18"/>
              </w:rPr>
            </w:pPr>
            <w:r>
              <w:rPr>
                <w:rFonts w:ascii="Arial" w:eastAsia="Arial" w:hAnsi="Arial" w:cs="Arial"/>
                <w:b/>
                <w:sz w:val="18"/>
                <w:szCs w:val="18"/>
              </w:rPr>
              <w:t>Methods</w:t>
            </w:r>
          </w:p>
        </w:tc>
        <w:tc>
          <w:tcPr>
            <w:tcW w:w="6308" w:type="dxa"/>
            <w:gridSpan w:val="3"/>
            <w:tcBorders>
              <w:top w:val="single" w:sz="4" w:space="0" w:color="7F7F7F"/>
              <w:left w:val="nil"/>
              <w:bottom w:val="nil"/>
              <w:right w:val="nil"/>
            </w:tcBorders>
            <w:shd w:val="clear" w:color="auto" w:fill="F2F2F2"/>
          </w:tcPr>
          <w:p w:rsidR="00D44F08" w:rsidRDefault="00DB10A2">
            <w:pPr>
              <w:rPr>
                <w:rFonts w:ascii="Arial" w:eastAsia="Arial" w:hAnsi="Arial" w:cs="Arial"/>
                <w:b/>
                <w:sz w:val="18"/>
                <w:szCs w:val="18"/>
              </w:rPr>
            </w:pPr>
            <w:r>
              <w:rPr>
                <w:rFonts w:ascii="Arial" w:eastAsia="Arial" w:hAnsi="Arial" w:cs="Arial"/>
                <w:b/>
                <w:sz w:val="18"/>
                <w:szCs w:val="18"/>
              </w:rPr>
              <w:t>Activity</w:t>
            </w:r>
          </w:p>
        </w:tc>
        <w:tc>
          <w:tcPr>
            <w:tcW w:w="1792" w:type="dxa"/>
            <w:tcBorders>
              <w:top w:val="single" w:sz="4" w:space="0" w:color="7F7F7F"/>
              <w:left w:val="nil"/>
              <w:bottom w:val="nil"/>
              <w:right w:val="single" w:sz="4" w:space="0" w:color="7F7F7F"/>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 xml:space="preserve">Weight (%) </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D44F08" w:rsidRDefault="00DB10A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792" w:type="dxa"/>
            <w:tcBorders>
              <w:top w:val="nil"/>
              <w:left w:val="nil"/>
              <w:bottom w:val="nil"/>
              <w:right w:val="single" w:sz="4" w:space="0" w:color="7F7F7F"/>
            </w:tcBorders>
          </w:tcPr>
          <w:p w:rsidR="00D44F08" w:rsidRDefault="00DB10A2">
            <w:pPr>
              <w:tabs>
                <w:tab w:val="left" w:pos="630"/>
                <w:tab w:val="center" w:pos="788"/>
              </w:tabs>
              <w:rPr>
                <w:rFonts w:ascii="Arial" w:eastAsia="Arial" w:hAnsi="Arial" w:cs="Arial"/>
                <w:color w:val="404040"/>
                <w:sz w:val="18"/>
                <w:szCs w:val="18"/>
              </w:rPr>
            </w:pPr>
            <w:r>
              <w:rPr>
                <w:rFonts w:ascii="Arial" w:eastAsia="Arial" w:hAnsi="Arial" w:cs="Arial"/>
                <w:color w:val="404040"/>
                <w:sz w:val="18"/>
                <w:szCs w:val="18"/>
              </w:rPr>
              <w:tab/>
              <w:t xml:space="preserve">40% </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 xml:space="preserve"> 20%</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20%</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Role simulation</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10%</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6"/>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Problem solving (problem-based learning)</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10%</w:t>
            </w:r>
          </w:p>
        </w:tc>
      </w:tr>
      <w:tr w:rsidR="00D44F08">
        <w:trPr>
          <w:trHeight w:val="236"/>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right w:val="single" w:sz="4" w:space="0" w:color="7F7F7F"/>
            </w:tcBorders>
          </w:tcPr>
          <w:p w:rsidR="00D44F08" w:rsidRDefault="00D44F08">
            <w:pPr>
              <w:rPr>
                <w:rFonts w:ascii="Arial" w:eastAsia="Arial" w:hAnsi="Arial" w:cs="Arial"/>
                <w:color w:val="404040"/>
                <w:sz w:val="18"/>
                <w:szCs w:val="18"/>
              </w:rPr>
            </w:pPr>
          </w:p>
        </w:tc>
      </w:tr>
      <w:tr w:rsidR="00D44F08">
        <w:trPr>
          <w:trHeight w:val="288"/>
        </w:trPr>
        <w:tc>
          <w:tcPr>
            <w:tcW w:w="1927" w:type="dxa"/>
            <w:vMerge w:val="restart"/>
            <w:tcBorders>
              <w:top w:val="single" w:sz="4" w:space="0" w:color="7F7F7F"/>
              <w:left w:val="single" w:sz="4" w:space="0" w:color="7F7F7F"/>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t>Assessment Methods</w:t>
            </w:r>
          </w:p>
        </w:tc>
        <w:tc>
          <w:tcPr>
            <w:tcW w:w="3550" w:type="dxa"/>
            <w:tcBorders>
              <w:top w:val="single" w:sz="4" w:space="0" w:color="7F7F7F"/>
              <w:left w:val="nil"/>
              <w:bottom w:val="nil"/>
              <w:right w:val="nil"/>
            </w:tcBorders>
            <w:shd w:val="clear" w:color="auto" w:fill="F2F2F2"/>
          </w:tcPr>
          <w:p w:rsidR="00D44F08" w:rsidRDefault="00DB10A2">
            <w:pPr>
              <w:rPr>
                <w:rFonts w:ascii="Arial" w:eastAsia="Arial" w:hAnsi="Arial" w:cs="Arial"/>
                <w:b/>
                <w:sz w:val="18"/>
                <w:szCs w:val="18"/>
              </w:rPr>
            </w:pPr>
            <w:r>
              <w:rPr>
                <w:rFonts w:ascii="Arial" w:eastAsia="Arial" w:hAnsi="Arial" w:cs="Arial"/>
                <w:b/>
                <w:sz w:val="18"/>
                <w:szCs w:val="18"/>
              </w:rPr>
              <w:t>Evaluation activity</w:t>
            </w:r>
          </w:p>
        </w:tc>
        <w:tc>
          <w:tcPr>
            <w:tcW w:w="1332" w:type="dxa"/>
            <w:tcBorders>
              <w:top w:val="single" w:sz="4" w:space="0" w:color="7F7F7F"/>
              <w:left w:val="nil"/>
              <w:bottom w:val="nil"/>
              <w:right w:val="nil"/>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Number</w:t>
            </w:r>
          </w:p>
        </w:tc>
        <w:tc>
          <w:tcPr>
            <w:tcW w:w="1426" w:type="dxa"/>
            <w:tcBorders>
              <w:top w:val="single" w:sz="4" w:space="0" w:color="7F7F7F"/>
              <w:left w:val="nil"/>
              <w:bottom w:val="nil"/>
              <w:right w:val="nil"/>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Week</w:t>
            </w:r>
          </w:p>
        </w:tc>
        <w:tc>
          <w:tcPr>
            <w:tcW w:w="1792" w:type="dxa"/>
            <w:tcBorders>
              <w:top w:val="single" w:sz="4" w:space="0" w:color="7F7F7F"/>
              <w:left w:val="nil"/>
              <w:bottom w:val="nil"/>
              <w:right w:val="single" w:sz="4" w:space="0" w:color="7F7F7F"/>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Weight (%)</w:t>
            </w:r>
          </w:p>
        </w:tc>
      </w:tr>
      <w:tr w:rsidR="00D44F08">
        <w:trPr>
          <w:gridAfter w:val="4"/>
          <w:wAfter w:w="8100" w:type="dxa"/>
          <w:trHeight w:val="241"/>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b/>
                <w:sz w:val="18"/>
                <w:szCs w:val="18"/>
              </w:rPr>
            </w:pPr>
          </w:p>
        </w:tc>
      </w:tr>
      <w:tr w:rsidR="00D44F08">
        <w:trPr>
          <w:trHeight w:val="288"/>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b/>
                <w:sz w:val="18"/>
                <w:szCs w:val="18"/>
              </w:rPr>
            </w:pPr>
          </w:p>
        </w:tc>
        <w:tc>
          <w:tcPr>
            <w:tcW w:w="3550" w:type="dxa"/>
            <w:tcBorders>
              <w:top w:val="nil"/>
              <w:left w:val="nil"/>
              <w:bottom w:val="nil"/>
              <w:right w:val="nil"/>
            </w:tcBorders>
          </w:tcPr>
          <w:p w:rsidR="00D44F08" w:rsidRDefault="00DB10A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Participation in lectures</w:t>
            </w:r>
          </w:p>
        </w:tc>
        <w:tc>
          <w:tcPr>
            <w:tcW w:w="1332"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1-13</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30%</w:t>
            </w:r>
          </w:p>
        </w:tc>
      </w:tr>
      <w:tr w:rsidR="00D44F08">
        <w:trPr>
          <w:trHeight w:val="288"/>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D44F08" w:rsidRDefault="00DB10A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332"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6</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10%</w:t>
            </w:r>
          </w:p>
        </w:tc>
      </w:tr>
      <w:tr w:rsidR="00D44F08">
        <w:trPr>
          <w:trHeight w:val="288"/>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D44F08" w:rsidRDefault="00DB10A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Presentations</w:t>
            </w:r>
          </w:p>
        </w:tc>
        <w:tc>
          <w:tcPr>
            <w:tcW w:w="1332"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426"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10%</w:t>
            </w:r>
          </w:p>
        </w:tc>
      </w:tr>
      <w:tr w:rsidR="00D44F08">
        <w:trPr>
          <w:trHeight w:val="288"/>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D44F08" w:rsidRDefault="00DB10A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Visit to the Commercial Court</w:t>
            </w:r>
          </w:p>
        </w:tc>
        <w:tc>
          <w:tcPr>
            <w:tcW w:w="1332"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426"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10%</w:t>
            </w:r>
          </w:p>
        </w:tc>
      </w:tr>
      <w:tr w:rsidR="00D44F08">
        <w:trPr>
          <w:trHeight w:val="288"/>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D44F08" w:rsidRDefault="00DB10A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Intermediate exams</w:t>
            </w:r>
          </w:p>
        </w:tc>
        <w:tc>
          <w:tcPr>
            <w:tcW w:w="1332"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7-14</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40%</w:t>
            </w:r>
          </w:p>
        </w:tc>
      </w:tr>
      <w:tr w:rsidR="00D44F08">
        <w:trPr>
          <w:trHeight w:val="288"/>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3550" w:type="dxa"/>
            <w:tcBorders>
              <w:top w:val="nil"/>
              <w:left w:val="nil"/>
              <w:bottom w:val="nil"/>
              <w:right w:val="nil"/>
            </w:tcBorders>
          </w:tcPr>
          <w:p w:rsidR="00D44F08" w:rsidRDefault="00DB10A2">
            <w:pPr>
              <w:numPr>
                <w:ilvl w:val="0"/>
                <w:numId w:val="1"/>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Final exam</w:t>
            </w:r>
          </w:p>
        </w:tc>
        <w:tc>
          <w:tcPr>
            <w:tcW w:w="1332"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15</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0-100%</w:t>
            </w:r>
          </w:p>
        </w:tc>
      </w:tr>
      <w:tr w:rsidR="00D44F08">
        <w:trPr>
          <w:gridAfter w:val="4"/>
          <w:wAfter w:w="8100" w:type="dxa"/>
          <w:trHeight w:val="288"/>
        </w:trPr>
        <w:tc>
          <w:tcPr>
            <w:tcW w:w="1927" w:type="dxa"/>
            <w:vMerge/>
            <w:tcBorders>
              <w:top w:val="single" w:sz="4" w:space="0" w:color="7F7F7F"/>
              <w:left w:val="single" w:sz="4" w:space="0" w:color="7F7F7F"/>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r>
      <w:tr w:rsidR="00D44F08">
        <w:trPr>
          <w:trHeight w:val="80"/>
        </w:trPr>
        <w:tc>
          <w:tcPr>
            <w:tcW w:w="1927" w:type="dxa"/>
            <w:tcBorders>
              <w:top w:val="nil"/>
              <w:left w:val="single" w:sz="4" w:space="0" w:color="7F7F7F"/>
              <w:bottom w:val="single" w:sz="4" w:space="0" w:color="7F7F7F"/>
              <w:right w:val="nil"/>
            </w:tcBorders>
            <w:shd w:val="clear" w:color="auto" w:fill="D9E2F3"/>
          </w:tcPr>
          <w:p w:rsidR="00D44F08" w:rsidRDefault="00D44F08">
            <w:pPr>
              <w:rPr>
                <w:rFonts w:ascii="Arial" w:eastAsia="Arial" w:hAnsi="Arial" w:cs="Arial"/>
                <w:sz w:val="18"/>
                <w:szCs w:val="18"/>
              </w:rPr>
            </w:pPr>
          </w:p>
        </w:tc>
        <w:tc>
          <w:tcPr>
            <w:tcW w:w="3550" w:type="dxa"/>
            <w:tcBorders>
              <w:top w:val="nil"/>
              <w:left w:val="nil"/>
              <w:bottom w:val="single" w:sz="4" w:space="0" w:color="7F7F7F"/>
              <w:right w:val="nil"/>
            </w:tcBorders>
          </w:tcPr>
          <w:p w:rsidR="00D44F08" w:rsidRDefault="00D44F08">
            <w:pPr>
              <w:jc w:val="center"/>
              <w:rPr>
                <w:rFonts w:ascii="Arial" w:eastAsia="Arial" w:hAnsi="Arial" w:cs="Arial"/>
                <w:color w:val="404040"/>
                <w:sz w:val="18"/>
                <w:szCs w:val="18"/>
              </w:rPr>
            </w:pPr>
          </w:p>
        </w:tc>
        <w:tc>
          <w:tcPr>
            <w:tcW w:w="1332" w:type="dxa"/>
            <w:tcBorders>
              <w:top w:val="nil"/>
              <w:left w:val="nil"/>
              <w:bottom w:val="single" w:sz="4" w:space="0" w:color="7F7F7F"/>
              <w:right w:val="nil"/>
            </w:tcBorders>
          </w:tcPr>
          <w:p w:rsidR="00D44F08" w:rsidRDefault="00D44F08">
            <w:pPr>
              <w:jc w:val="center"/>
              <w:rPr>
                <w:rFonts w:ascii="Arial" w:eastAsia="Arial" w:hAnsi="Arial" w:cs="Arial"/>
                <w:color w:val="404040"/>
                <w:sz w:val="18"/>
                <w:szCs w:val="18"/>
              </w:rPr>
            </w:pPr>
          </w:p>
        </w:tc>
        <w:tc>
          <w:tcPr>
            <w:tcW w:w="1426" w:type="dxa"/>
            <w:tcBorders>
              <w:top w:val="nil"/>
              <w:left w:val="nil"/>
              <w:bottom w:val="single" w:sz="4" w:space="0" w:color="7F7F7F"/>
              <w:right w:val="nil"/>
            </w:tcBorders>
          </w:tcPr>
          <w:p w:rsidR="00D44F08" w:rsidRDefault="00D44F08">
            <w:pPr>
              <w:jc w:val="center"/>
              <w:rPr>
                <w:rFonts w:ascii="Arial" w:eastAsia="Arial" w:hAnsi="Arial" w:cs="Arial"/>
                <w:color w:val="404040"/>
                <w:sz w:val="18"/>
                <w:szCs w:val="18"/>
              </w:rPr>
            </w:pPr>
          </w:p>
        </w:tc>
        <w:tc>
          <w:tcPr>
            <w:tcW w:w="1792" w:type="dxa"/>
            <w:tcBorders>
              <w:top w:val="nil"/>
              <w:left w:val="nil"/>
              <w:bottom w:val="single" w:sz="4" w:space="0" w:color="7F7F7F"/>
              <w:right w:val="single" w:sz="4" w:space="0" w:color="7F7F7F"/>
            </w:tcBorders>
          </w:tcPr>
          <w:p w:rsidR="00D44F08" w:rsidRDefault="00D44F08">
            <w:pPr>
              <w:jc w:val="center"/>
              <w:rPr>
                <w:rFonts w:ascii="Arial" w:eastAsia="Arial" w:hAnsi="Arial" w:cs="Arial"/>
                <w:color w:val="404040"/>
                <w:sz w:val="18"/>
                <w:szCs w:val="18"/>
              </w:rPr>
            </w:pPr>
          </w:p>
        </w:tc>
      </w:tr>
      <w:tr w:rsidR="00D44F08">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t>Course resources and</w:t>
            </w:r>
          </w:p>
          <w:p w:rsidR="00D44F08" w:rsidRDefault="00DB10A2">
            <w:pPr>
              <w:rPr>
                <w:rFonts w:ascii="Arial" w:eastAsia="Arial" w:hAnsi="Arial" w:cs="Arial"/>
                <w:b/>
                <w:sz w:val="18"/>
                <w:szCs w:val="18"/>
              </w:rPr>
            </w:pPr>
            <w:r>
              <w:rPr>
                <w:rFonts w:ascii="Arial" w:eastAsia="Arial" w:hAnsi="Arial" w:cs="Arial"/>
                <w:b/>
                <w:sz w:val="18"/>
                <w:szCs w:val="18"/>
              </w:rPr>
              <w:t>means of</w:t>
            </w:r>
          </w:p>
          <w:p w:rsidR="00D44F08" w:rsidRDefault="00DB10A2">
            <w:pPr>
              <w:rPr>
                <w:rFonts w:ascii="Arial" w:eastAsia="Arial" w:hAnsi="Arial" w:cs="Arial"/>
                <w:b/>
                <w:sz w:val="18"/>
                <w:szCs w:val="18"/>
              </w:rPr>
            </w:pPr>
            <w:r>
              <w:rPr>
                <w:rFonts w:ascii="Arial" w:eastAsia="Arial" w:hAnsi="Arial" w:cs="Arial"/>
                <w:b/>
                <w:sz w:val="18"/>
                <w:szCs w:val="18"/>
              </w:rPr>
              <w:t>materialization</w:t>
            </w:r>
          </w:p>
        </w:tc>
        <w:tc>
          <w:tcPr>
            <w:tcW w:w="6308" w:type="dxa"/>
            <w:gridSpan w:val="3"/>
            <w:tcBorders>
              <w:top w:val="single" w:sz="4" w:space="0" w:color="7F7F7F"/>
              <w:left w:val="nil"/>
              <w:bottom w:val="nil"/>
              <w:right w:val="nil"/>
            </w:tcBorders>
            <w:shd w:val="clear" w:color="auto" w:fill="F2F2F2"/>
          </w:tcPr>
          <w:p w:rsidR="00D44F08" w:rsidRDefault="00DB10A2">
            <w:pPr>
              <w:rPr>
                <w:rFonts w:ascii="Arial" w:eastAsia="Arial" w:hAnsi="Arial" w:cs="Arial"/>
                <w:b/>
                <w:sz w:val="18"/>
                <w:szCs w:val="18"/>
              </w:rPr>
            </w:pPr>
            <w:r>
              <w:rPr>
                <w:rFonts w:ascii="Arial" w:eastAsia="Arial" w:hAnsi="Arial" w:cs="Arial"/>
                <w:b/>
                <w:sz w:val="18"/>
                <w:szCs w:val="18"/>
              </w:rPr>
              <w:t>Equipment</w:t>
            </w:r>
          </w:p>
        </w:tc>
        <w:tc>
          <w:tcPr>
            <w:tcW w:w="1792" w:type="dxa"/>
            <w:tcBorders>
              <w:top w:val="single" w:sz="4" w:space="0" w:color="7F7F7F"/>
              <w:left w:val="nil"/>
              <w:bottom w:val="nil"/>
              <w:right w:val="single" w:sz="4" w:space="0" w:color="7F7F7F"/>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Number</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b/>
                <w:sz w:val="18"/>
                <w:szCs w:val="18"/>
              </w:rPr>
            </w:pPr>
          </w:p>
        </w:tc>
        <w:tc>
          <w:tcPr>
            <w:tcW w:w="6308" w:type="dxa"/>
            <w:gridSpan w:val="3"/>
            <w:tcBorders>
              <w:top w:val="nil"/>
              <w:left w:val="nil"/>
              <w:bottom w:val="nil"/>
              <w:right w:val="nil"/>
            </w:tcBorders>
          </w:tcPr>
          <w:p w:rsidR="00D44F08" w:rsidRDefault="00DB10A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 xml:space="preserve">Class </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Legal Literature</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Web access</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Internet</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6308" w:type="dxa"/>
            <w:gridSpan w:val="3"/>
            <w:tcBorders>
              <w:top w:val="nil"/>
              <w:left w:val="nil"/>
              <w:bottom w:val="nil"/>
              <w:right w:val="nil"/>
            </w:tcBorders>
          </w:tcPr>
          <w:p w:rsidR="00D44F08" w:rsidRDefault="00DB10A2">
            <w:pPr>
              <w:numPr>
                <w:ilvl w:val="0"/>
                <w:numId w:val="7"/>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Moodle</w:t>
            </w:r>
          </w:p>
        </w:tc>
        <w:tc>
          <w:tcPr>
            <w:tcW w:w="1792" w:type="dxa"/>
            <w:tcBorders>
              <w:top w:val="nil"/>
              <w:left w:val="nil"/>
              <w:bottom w:val="nil"/>
              <w:right w:val="single" w:sz="4" w:space="0" w:color="7F7F7F"/>
            </w:tcBorders>
          </w:tcPr>
          <w:p w:rsidR="00D44F08" w:rsidRDefault="00D44F08">
            <w:pPr>
              <w:jc w:val="center"/>
              <w:rPr>
                <w:rFonts w:ascii="Arial" w:eastAsia="Arial" w:hAnsi="Arial" w:cs="Arial"/>
                <w:color w:val="404040"/>
                <w:sz w:val="18"/>
                <w:szCs w:val="18"/>
              </w:rPr>
            </w:pP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8100" w:type="dxa"/>
            <w:gridSpan w:val="4"/>
            <w:tcBorders>
              <w:top w:val="nil"/>
              <w:left w:val="nil"/>
              <w:bottom w:val="single" w:sz="4" w:space="0" w:color="7F7F7F"/>
              <w:right w:val="single" w:sz="4" w:space="0" w:color="7F7F7F"/>
            </w:tcBorders>
          </w:tcPr>
          <w:p w:rsidR="00D44F08" w:rsidRDefault="00D44F08">
            <w:pPr>
              <w:jc w:val="center"/>
              <w:rPr>
                <w:rFonts w:ascii="Arial" w:eastAsia="Arial" w:hAnsi="Arial" w:cs="Arial"/>
                <w:color w:val="404040"/>
                <w:sz w:val="18"/>
                <w:szCs w:val="18"/>
              </w:rPr>
            </w:pPr>
          </w:p>
        </w:tc>
      </w:tr>
      <w:tr w:rsidR="00D44F08">
        <w:trPr>
          <w:trHeight w:val="288"/>
        </w:trPr>
        <w:tc>
          <w:tcPr>
            <w:tcW w:w="1927" w:type="dxa"/>
            <w:vMerge w:val="restart"/>
            <w:tcBorders>
              <w:top w:val="single" w:sz="4" w:space="0" w:color="7F7F7F"/>
              <w:left w:val="single" w:sz="4" w:space="0" w:color="7F7F7F"/>
              <w:bottom w:val="nil"/>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t>ECTS Workload</w:t>
            </w:r>
          </w:p>
        </w:tc>
        <w:tc>
          <w:tcPr>
            <w:tcW w:w="4882" w:type="dxa"/>
            <w:gridSpan w:val="2"/>
            <w:tcBorders>
              <w:top w:val="single" w:sz="4" w:space="0" w:color="7F7F7F"/>
              <w:left w:val="nil"/>
              <w:bottom w:val="nil"/>
              <w:right w:val="nil"/>
            </w:tcBorders>
            <w:shd w:val="clear" w:color="auto" w:fill="F2F2F2"/>
          </w:tcPr>
          <w:p w:rsidR="00D44F08" w:rsidRDefault="00DB10A2">
            <w:pPr>
              <w:rPr>
                <w:rFonts w:ascii="Arial" w:eastAsia="Arial" w:hAnsi="Arial" w:cs="Arial"/>
                <w:b/>
                <w:sz w:val="18"/>
                <w:szCs w:val="18"/>
              </w:rPr>
            </w:pPr>
            <w:r>
              <w:rPr>
                <w:rFonts w:ascii="Arial" w:eastAsia="Arial" w:hAnsi="Arial" w:cs="Arial"/>
                <w:b/>
                <w:sz w:val="18"/>
                <w:szCs w:val="18"/>
              </w:rPr>
              <w:t>Activity</w:t>
            </w:r>
          </w:p>
        </w:tc>
        <w:tc>
          <w:tcPr>
            <w:tcW w:w="1426" w:type="dxa"/>
            <w:tcBorders>
              <w:top w:val="single" w:sz="4" w:space="0" w:color="7F7F7F"/>
              <w:left w:val="nil"/>
              <w:bottom w:val="nil"/>
              <w:right w:val="nil"/>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Weekly hours</w:t>
            </w:r>
          </w:p>
        </w:tc>
        <w:tc>
          <w:tcPr>
            <w:tcW w:w="1792" w:type="dxa"/>
            <w:tcBorders>
              <w:top w:val="single" w:sz="4" w:space="0" w:color="7F7F7F"/>
              <w:left w:val="nil"/>
              <w:bottom w:val="nil"/>
              <w:right w:val="single" w:sz="4" w:space="0" w:color="7F7F7F"/>
            </w:tcBorders>
            <w:shd w:val="clear" w:color="auto" w:fill="F2F2F2"/>
          </w:tcPr>
          <w:p w:rsidR="00D44F08" w:rsidRDefault="00DB10A2">
            <w:pPr>
              <w:jc w:val="center"/>
              <w:rPr>
                <w:rFonts w:ascii="Arial" w:eastAsia="Arial" w:hAnsi="Arial" w:cs="Arial"/>
                <w:b/>
                <w:sz w:val="18"/>
                <w:szCs w:val="18"/>
              </w:rPr>
            </w:pPr>
            <w:r>
              <w:rPr>
                <w:rFonts w:ascii="Arial" w:eastAsia="Arial" w:hAnsi="Arial" w:cs="Arial"/>
                <w:b/>
                <w:sz w:val="18"/>
                <w:szCs w:val="18"/>
              </w:rPr>
              <w:t>Total workload</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b/>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Lectures</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26</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Improvisation of judicial sessions</w:t>
            </w:r>
          </w:p>
        </w:tc>
        <w:tc>
          <w:tcPr>
            <w:tcW w:w="1426"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18</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Case studies</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 xml:space="preserve">14 </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Self-study and readings</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26</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Institutional visits</w:t>
            </w:r>
          </w:p>
        </w:tc>
        <w:tc>
          <w:tcPr>
            <w:tcW w:w="1426" w:type="dxa"/>
            <w:tcBorders>
              <w:top w:val="nil"/>
              <w:left w:val="nil"/>
              <w:bottom w:val="nil"/>
              <w:right w:val="nil"/>
            </w:tcBorders>
          </w:tcPr>
          <w:p w:rsidR="00D44F08" w:rsidRDefault="00D44F08">
            <w:pPr>
              <w:jc w:val="center"/>
              <w:rPr>
                <w:rFonts w:ascii="Arial" w:eastAsia="Arial" w:hAnsi="Arial" w:cs="Arial"/>
                <w:color w:val="404040"/>
                <w:sz w:val="18"/>
                <w:szCs w:val="18"/>
              </w:rPr>
            </w:pP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7</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Drafting of judicial acts</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20</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Preparation for final exam</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1</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8</w:t>
            </w:r>
          </w:p>
        </w:tc>
      </w:tr>
      <w:tr w:rsidR="00D44F08">
        <w:trPr>
          <w:trHeight w:val="288"/>
        </w:trPr>
        <w:tc>
          <w:tcPr>
            <w:tcW w:w="1927" w:type="dxa"/>
            <w:vMerge/>
            <w:tcBorders>
              <w:top w:val="single" w:sz="4" w:space="0" w:color="7F7F7F"/>
              <w:left w:val="single" w:sz="4" w:space="0" w:color="7F7F7F"/>
              <w:bottom w:val="nil"/>
              <w:right w:val="nil"/>
            </w:tcBorders>
            <w:shd w:val="clear" w:color="auto" w:fill="D9E2F3"/>
            <w:vAlign w:val="center"/>
          </w:tcPr>
          <w:p w:rsidR="00D44F08" w:rsidRDefault="00D44F08">
            <w:pPr>
              <w:widowControl w:val="0"/>
              <w:pBdr>
                <w:top w:val="nil"/>
                <w:left w:val="nil"/>
                <w:bottom w:val="nil"/>
                <w:right w:val="nil"/>
                <w:between w:val="nil"/>
              </w:pBdr>
              <w:spacing w:line="276" w:lineRule="auto"/>
              <w:rPr>
                <w:rFonts w:ascii="Arial" w:eastAsia="Arial" w:hAnsi="Arial" w:cs="Arial"/>
                <w:color w:val="404040"/>
                <w:sz w:val="18"/>
                <w:szCs w:val="18"/>
              </w:rPr>
            </w:pPr>
          </w:p>
        </w:tc>
        <w:tc>
          <w:tcPr>
            <w:tcW w:w="4882" w:type="dxa"/>
            <w:gridSpan w:val="2"/>
            <w:tcBorders>
              <w:top w:val="nil"/>
              <w:left w:val="nil"/>
              <w:bottom w:val="nil"/>
              <w:right w:val="nil"/>
            </w:tcBorders>
          </w:tcPr>
          <w:p w:rsidR="00D44F08" w:rsidRDefault="00DB10A2">
            <w:pPr>
              <w:numPr>
                <w:ilvl w:val="0"/>
                <w:numId w:val="2"/>
              </w:numPr>
              <w:pBdr>
                <w:top w:val="nil"/>
                <w:left w:val="nil"/>
                <w:bottom w:val="nil"/>
                <w:right w:val="nil"/>
                <w:between w:val="nil"/>
              </w:pBdr>
              <w:spacing w:after="160" w:line="259" w:lineRule="auto"/>
              <w:rPr>
                <w:rFonts w:ascii="Arial" w:eastAsia="Arial" w:hAnsi="Arial" w:cs="Arial"/>
                <w:color w:val="404040"/>
                <w:sz w:val="18"/>
                <w:szCs w:val="18"/>
              </w:rPr>
            </w:pPr>
            <w:r>
              <w:rPr>
                <w:rFonts w:ascii="Arial" w:eastAsia="Arial" w:hAnsi="Arial" w:cs="Arial"/>
                <w:color w:val="404040"/>
                <w:sz w:val="18"/>
                <w:szCs w:val="18"/>
              </w:rPr>
              <w:t>Exams</w:t>
            </w:r>
          </w:p>
        </w:tc>
        <w:tc>
          <w:tcPr>
            <w:tcW w:w="1426" w:type="dxa"/>
            <w:tcBorders>
              <w:top w:val="nil"/>
              <w:left w:val="nil"/>
              <w:bottom w:val="nil"/>
              <w:right w:val="nil"/>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3</w:t>
            </w:r>
          </w:p>
        </w:tc>
        <w:tc>
          <w:tcPr>
            <w:tcW w:w="1792" w:type="dxa"/>
            <w:tcBorders>
              <w:top w:val="nil"/>
              <w:left w:val="nil"/>
              <w:bottom w:val="nil"/>
              <w:right w:val="single" w:sz="4" w:space="0" w:color="7F7F7F"/>
            </w:tcBorders>
          </w:tcPr>
          <w:p w:rsidR="00D44F08" w:rsidRDefault="00DB10A2">
            <w:pPr>
              <w:jc w:val="center"/>
              <w:rPr>
                <w:rFonts w:ascii="Arial" w:eastAsia="Arial" w:hAnsi="Arial" w:cs="Arial"/>
                <w:color w:val="404040"/>
                <w:sz w:val="18"/>
                <w:szCs w:val="18"/>
              </w:rPr>
            </w:pPr>
            <w:r>
              <w:rPr>
                <w:rFonts w:ascii="Arial" w:eastAsia="Arial" w:hAnsi="Arial" w:cs="Arial"/>
                <w:color w:val="404040"/>
                <w:sz w:val="18"/>
                <w:szCs w:val="18"/>
              </w:rPr>
              <w:t>6</w:t>
            </w:r>
          </w:p>
        </w:tc>
      </w:tr>
      <w:tr w:rsidR="00D44F08">
        <w:tc>
          <w:tcPr>
            <w:tcW w:w="1927" w:type="dxa"/>
            <w:tcBorders>
              <w:top w:val="single" w:sz="4" w:space="0" w:color="7F7F7F"/>
              <w:left w:val="single" w:sz="4" w:space="0" w:color="7F7F7F"/>
              <w:bottom w:val="single" w:sz="4" w:space="0" w:color="7F7F7F"/>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t>Literature / References</w:t>
            </w:r>
          </w:p>
        </w:tc>
        <w:tc>
          <w:tcPr>
            <w:tcW w:w="8100" w:type="dxa"/>
            <w:gridSpan w:val="4"/>
            <w:tcBorders>
              <w:top w:val="single" w:sz="4" w:space="0" w:color="7F7F7F"/>
              <w:left w:val="nil"/>
              <w:bottom w:val="single" w:sz="4" w:space="0" w:color="7F7F7F"/>
              <w:right w:val="single" w:sz="4" w:space="0" w:color="7F7F7F"/>
            </w:tcBorders>
          </w:tcPr>
          <w:p w:rsidR="00D44F08" w:rsidRDefault="00D44F08" w:rsidP="00170C9C">
            <w:pPr>
              <w:spacing w:after="200"/>
              <w:rPr>
                <w:rFonts w:ascii="Arial" w:eastAsia="Arial" w:hAnsi="Arial" w:cs="Arial"/>
                <w:sz w:val="18"/>
                <w:szCs w:val="18"/>
              </w:rPr>
            </w:pPr>
            <w:bookmarkStart w:id="1" w:name="_GoBack"/>
            <w:bookmarkEnd w:id="1"/>
          </w:p>
          <w:p w:rsidR="00D44F08" w:rsidRDefault="00DB10A2">
            <w:pPr>
              <w:numPr>
                <w:ilvl w:val="0"/>
                <w:numId w:val="4"/>
              </w:numPr>
              <w:pBdr>
                <w:top w:val="nil"/>
                <w:left w:val="nil"/>
                <w:bottom w:val="nil"/>
                <w:right w:val="nil"/>
                <w:between w:val="nil"/>
              </w:pBdr>
              <w:spacing w:after="200" w:line="259" w:lineRule="auto"/>
              <w:ind w:left="360"/>
              <w:jc w:val="both"/>
              <w:rPr>
                <w:rFonts w:ascii="Arial" w:eastAsia="Arial" w:hAnsi="Arial" w:cs="Arial"/>
                <w:color w:val="000000"/>
                <w:sz w:val="18"/>
                <w:szCs w:val="18"/>
              </w:rPr>
            </w:pPr>
            <w:r>
              <w:rPr>
                <w:rFonts w:ascii="Arial" w:eastAsia="Arial" w:hAnsi="Arial" w:cs="Arial"/>
                <w:color w:val="000000"/>
                <w:sz w:val="18"/>
                <w:szCs w:val="18"/>
              </w:rPr>
              <w:t xml:space="preserve">Commercial Law, Peter Johnson, </w:t>
            </w:r>
            <w:proofErr w:type="gramStart"/>
            <w:r>
              <w:rPr>
                <w:rFonts w:ascii="Arial" w:eastAsia="Arial" w:hAnsi="Arial" w:cs="Arial"/>
                <w:color w:val="000000"/>
                <w:sz w:val="18"/>
                <w:szCs w:val="18"/>
              </w:rPr>
              <w:t>Publisher</w:t>
            </w:r>
            <w:proofErr w:type="gramEnd"/>
            <w:r>
              <w:rPr>
                <w:rFonts w:ascii="Arial" w:eastAsia="Arial" w:hAnsi="Arial" w:cs="Arial"/>
                <w:color w:val="000000"/>
                <w:sz w:val="18"/>
                <w:szCs w:val="18"/>
              </w:rPr>
              <w:t>: ‎ Independently published (March 16, 2019).</w:t>
            </w:r>
          </w:p>
          <w:p w:rsidR="00D44F08" w:rsidRDefault="00D44F08">
            <w:pPr>
              <w:spacing w:line="259" w:lineRule="auto"/>
              <w:ind w:left="360"/>
              <w:jc w:val="both"/>
              <w:rPr>
                <w:rFonts w:ascii="Arial" w:eastAsia="Arial" w:hAnsi="Arial" w:cs="Arial"/>
                <w:sz w:val="18"/>
                <w:szCs w:val="18"/>
              </w:rPr>
            </w:pPr>
          </w:p>
          <w:p w:rsidR="00D44F08" w:rsidRDefault="00DB10A2">
            <w:pPr>
              <w:numPr>
                <w:ilvl w:val="0"/>
                <w:numId w:val="4"/>
              </w:numPr>
              <w:spacing w:line="259" w:lineRule="auto"/>
              <w:ind w:left="360"/>
              <w:rPr>
                <w:rFonts w:ascii="Arial" w:eastAsia="Arial" w:hAnsi="Arial" w:cs="Arial"/>
                <w:sz w:val="18"/>
                <w:szCs w:val="18"/>
              </w:rPr>
            </w:pPr>
            <w:r>
              <w:rPr>
                <w:rFonts w:ascii="Arial" w:eastAsia="Arial" w:hAnsi="Arial" w:cs="Arial"/>
                <w:sz w:val="18"/>
                <w:szCs w:val="18"/>
              </w:rPr>
              <w:t xml:space="preserve">Commercial Law: Text, Cases, and Materials, M </w:t>
            </w:r>
            <w:proofErr w:type="gramStart"/>
            <w:r>
              <w:rPr>
                <w:rFonts w:ascii="Arial" w:eastAsia="Arial" w:hAnsi="Arial" w:cs="Arial"/>
                <w:sz w:val="18"/>
                <w:szCs w:val="18"/>
              </w:rPr>
              <w:t>A</w:t>
            </w:r>
            <w:proofErr w:type="gramEnd"/>
            <w:r>
              <w:rPr>
                <w:rFonts w:ascii="Arial" w:eastAsia="Arial" w:hAnsi="Arial" w:cs="Arial"/>
                <w:sz w:val="18"/>
                <w:szCs w:val="18"/>
              </w:rPr>
              <w:t xml:space="preserve"> Clarke, R J A Hooley, R J C </w:t>
            </w:r>
            <w:proofErr w:type="spellStart"/>
            <w:r>
              <w:rPr>
                <w:rFonts w:ascii="Arial" w:eastAsia="Arial" w:hAnsi="Arial" w:cs="Arial"/>
                <w:sz w:val="18"/>
                <w:szCs w:val="18"/>
              </w:rPr>
              <w:t>Munday</w:t>
            </w:r>
            <w:proofErr w:type="spellEnd"/>
            <w:r>
              <w:rPr>
                <w:rFonts w:ascii="Arial" w:eastAsia="Arial" w:hAnsi="Arial" w:cs="Arial"/>
                <w:sz w:val="18"/>
                <w:szCs w:val="18"/>
              </w:rPr>
              <w:t xml:space="preserve">, L S Seal, Publisher ‏: ‎ </w:t>
            </w:r>
            <w:r>
              <w:rPr>
                <w:rFonts w:ascii="Arial" w:eastAsia="Arial" w:hAnsi="Arial" w:cs="Arial"/>
                <w:sz w:val="18"/>
                <w:szCs w:val="18"/>
              </w:rPr>
              <w:t>Oxford University Press; 5th edition (June 27, 2017).</w:t>
            </w:r>
          </w:p>
          <w:p w:rsidR="00D44F08" w:rsidRDefault="00D44F08">
            <w:pPr>
              <w:spacing w:line="259" w:lineRule="auto"/>
              <w:ind w:left="360"/>
              <w:jc w:val="both"/>
              <w:rPr>
                <w:rFonts w:ascii="Arial" w:eastAsia="Arial" w:hAnsi="Arial" w:cs="Arial"/>
                <w:sz w:val="18"/>
                <w:szCs w:val="18"/>
              </w:rPr>
            </w:pPr>
          </w:p>
          <w:p w:rsidR="00D44F08" w:rsidRDefault="00DB10A2">
            <w:pPr>
              <w:numPr>
                <w:ilvl w:val="0"/>
                <w:numId w:val="4"/>
              </w:numPr>
              <w:spacing w:line="259" w:lineRule="auto"/>
              <w:ind w:left="360"/>
              <w:jc w:val="both"/>
              <w:rPr>
                <w:rFonts w:ascii="Arial" w:eastAsia="Arial" w:hAnsi="Arial" w:cs="Arial"/>
                <w:sz w:val="18"/>
                <w:szCs w:val="18"/>
              </w:rPr>
            </w:pPr>
            <w:r>
              <w:rPr>
                <w:rFonts w:ascii="Arial" w:eastAsia="Arial" w:hAnsi="Arial" w:cs="Arial"/>
                <w:sz w:val="18"/>
                <w:szCs w:val="18"/>
              </w:rPr>
              <w:t xml:space="preserve">E </w:t>
            </w:r>
            <w:proofErr w:type="spellStart"/>
            <w:r>
              <w:rPr>
                <w:rFonts w:ascii="Arial" w:eastAsia="Arial" w:hAnsi="Arial" w:cs="Arial"/>
                <w:sz w:val="18"/>
                <w:szCs w:val="18"/>
              </w:rPr>
              <w:t>Drejta</w:t>
            </w:r>
            <w:proofErr w:type="spellEnd"/>
            <w:r>
              <w:rPr>
                <w:rFonts w:ascii="Arial" w:eastAsia="Arial" w:hAnsi="Arial" w:cs="Arial"/>
                <w:sz w:val="18"/>
                <w:szCs w:val="18"/>
              </w:rPr>
              <w:t xml:space="preserve"> </w:t>
            </w:r>
            <w:proofErr w:type="spellStart"/>
            <w:r>
              <w:rPr>
                <w:rFonts w:ascii="Arial" w:eastAsia="Arial" w:hAnsi="Arial" w:cs="Arial"/>
                <w:sz w:val="18"/>
                <w:szCs w:val="18"/>
              </w:rPr>
              <w:t>Biznesore</w:t>
            </w:r>
            <w:proofErr w:type="spellEnd"/>
            <w:r>
              <w:rPr>
                <w:rFonts w:ascii="Arial" w:eastAsia="Arial" w:hAnsi="Arial" w:cs="Arial"/>
                <w:sz w:val="18"/>
                <w:szCs w:val="18"/>
              </w:rPr>
              <w:t xml:space="preserve">, Armand </w:t>
            </w:r>
            <w:proofErr w:type="spellStart"/>
            <w:r>
              <w:rPr>
                <w:rFonts w:ascii="Arial" w:eastAsia="Arial" w:hAnsi="Arial" w:cs="Arial"/>
                <w:sz w:val="18"/>
                <w:szCs w:val="18"/>
              </w:rPr>
              <w:t>Krasniqi</w:t>
            </w:r>
            <w:proofErr w:type="spellEnd"/>
            <w:r>
              <w:rPr>
                <w:rFonts w:ascii="Arial" w:eastAsia="Arial" w:hAnsi="Arial" w:cs="Arial"/>
                <w:sz w:val="18"/>
                <w:szCs w:val="18"/>
              </w:rPr>
              <w:t xml:space="preserve">, </w:t>
            </w:r>
            <w:proofErr w:type="spellStart"/>
            <w:r>
              <w:rPr>
                <w:rFonts w:ascii="Arial" w:eastAsia="Arial" w:hAnsi="Arial" w:cs="Arial"/>
                <w:sz w:val="18"/>
                <w:szCs w:val="18"/>
              </w:rPr>
              <w:t>Botues</w:t>
            </w:r>
            <w:proofErr w:type="spellEnd"/>
            <w:r>
              <w:rPr>
                <w:rFonts w:ascii="Arial" w:eastAsia="Arial" w:hAnsi="Arial" w:cs="Arial"/>
                <w:sz w:val="18"/>
                <w:szCs w:val="18"/>
              </w:rPr>
              <w:t xml:space="preserve">: </w:t>
            </w:r>
            <w:proofErr w:type="spellStart"/>
            <w:r>
              <w:rPr>
                <w:rFonts w:ascii="Arial" w:eastAsia="Arial" w:hAnsi="Arial" w:cs="Arial"/>
                <w:sz w:val="18"/>
                <w:szCs w:val="18"/>
              </w:rPr>
              <w:t>Dukagjini</w:t>
            </w:r>
            <w:proofErr w:type="spellEnd"/>
            <w:r>
              <w:rPr>
                <w:rFonts w:ascii="Arial" w:eastAsia="Arial" w:hAnsi="Arial" w:cs="Arial"/>
                <w:sz w:val="18"/>
                <w:szCs w:val="18"/>
              </w:rPr>
              <w:t>, 2014.</w:t>
            </w:r>
          </w:p>
          <w:p w:rsidR="00D44F08" w:rsidRDefault="00D44F08">
            <w:pPr>
              <w:spacing w:line="259" w:lineRule="auto"/>
              <w:ind w:left="-360"/>
              <w:rPr>
                <w:rFonts w:ascii="Arial" w:eastAsia="Arial" w:hAnsi="Arial" w:cs="Arial"/>
                <w:sz w:val="18"/>
                <w:szCs w:val="18"/>
              </w:rPr>
            </w:pPr>
          </w:p>
          <w:p w:rsidR="00D44F08" w:rsidRDefault="00DB10A2">
            <w:pPr>
              <w:numPr>
                <w:ilvl w:val="0"/>
                <w:numId w:val="4"/>
              </w:numPr>
              <w:spacing w:line="259" w:lineRule="auto"/>
              <w:ind w:left="360"/>
              <w:jc w:val="both"/>
              <w:rPr>
                <w:rFonts w:ascii="Arial" w:eastAsia="Arial" w:hAnsi="Arial" w:cs="Arial"/>
                <w:sz w:val="18"/>
                <w:szCs w:val="18"/>
              </w:rPr>
            </w:pPr>
            <w:r>
              <w:rPr>
                <w:rFonts w:ascii="Arial" w:eastAsia="Arial" w:hAnsi="Arial" w:cs="Arial"/>
                <w:sz w:val="18"/>
                <w:szCs w:val="18"/>
              </w:rPr>
              <w:t xml:space="preserve">Manual </w:t>
            </w:r>
            <w:proofErr w:type="spellStart"/>
            <w:r>
              <w:rPr>
                <w:rFonts w:ascii="Arial" w:eastAsia="Arial" w:hAnsi="Arial" w:cs="Arial"/>
                <w:sz w:val="18"/>
                <w:szCs w:val="18"/>
              </w:rPr>
              <w:t>për</w:t>
            </w:r>
            <w:proofErr w:type="spellEnd"/>
            <w:r>
              <w:rPr>
                <w:rFonts w:ascii="Arial" w:eastAsia="Arial" w:hAnsi="Arial" w:cs="Arial"/>
                <w:sz w:val="18"/>
                <w:szCs w:val="18"/>
              </w:rPr>
              <w:t xml:space="preserve"> </w:t>
            </w:r>
            <w:proofErr w:type="spellStart"/>
            <w:r>
              <w:rPr>
                <w:rFonts w:ascii="Arial" w:eastAsia="Arial" w:hAnsi="Arial" w:cs="Arial"/>
                <w:sz w:val="18"/>
                <w:szCs w:val="18"/>
              </w:rPr>
              <w:t>Administratorët</w:t>
            </w:r>
            <w:proofErr w:type="spellEnd"/>
            <w:r>
              <w:rPr>
                <w:rFonts w:ascii="Arial" w:eastAsia="Arial" w:hAnsi="Arial" w:cs="Arial"/>
                <w:sz w:val="18"/>
                <w:szCs w:val="18"/>
              </w:rPr>
              <w:t xml:space="preserve"> e </w:t>
            </w:r>
            <w:proofErr w:type="spellStart"/>
            <w:r>
              <w:rPr>
                <w:rFonts w:ascii="Arial" w:eastAsia="Arial" w:hAnsi="Arial" w:cs="Arial"/>
                <w:sz w:val="18"/>
                <w:szCs w:val="18"/>
              </w:rPr>
              <w:t>Falimentimit</w:t>
            </w:r>
            <w:proofErr w:type="spellEnd"/>
            <w:r>
              <w:rPr>
                <w:rFonts w:ascii="Arial" w:eastAsia="Arial" w:hAnsi="Arial" w:cs="Arial"/>
                <w:sz w:val="18"/>
                <w:szCs w:val="18"/>
              </w:rPr>
              <w:t xml:space="preserve"> LIGJI PËR FALIMENTIMIN NË KOSOVË. Corporate Authors:</w:t>
            </w:r>
            <w:r>
              <w:rPr>
                <w:rFonts w:ascii="Arial" w:eastAsia="Arial" w:hAnsi="Arial" w:cs="Arial"/>
                <w:sz w:val="18"/>
                <w:szCs w:val="18"/>
              </w:rPr>
              <w:tab/>
              <w:t>Law Academy &amp; IFC, World Bank Group &amp;</w:t>
            </w:r>
            <w:r>
              <w:rPr>
                <w:rFonts w:ascii="Arial" w:eastAsia="Arial" w:hAnsi="Arial" w:cs="Arial"/>
                <w:sz w:val="18"/>
                <w:szCs w:val="18"/>
              </w:rPr>
              <w:t xml:space="preserve"> State Secretariat for Economic Affairs (SECO). Publisher: </w:t>
            </w:r>
            <w:proofErr w:type="spellStart"/>
            <w:r>
              <w:rPr>
                <w:rFonts w:ascii="Arial" w:eastAsia="Arial" w:hAnsi="Arial" w:cs="Arial"/>
                <w:sz w:val="18"/>
                <w:szCs w:val="18"/>
              </w:rPr>
              <w:t>Akademia</w:t>
            </w:r>
            <w:proofErr w:type="spellEnd"/>
            <w:r>
              <w:rPr>
                <w:rFonts w:ascii="Arial" w:eastAsia="Arial" w:hAnsi="Arial" w:cs="Arial"/>
                <w:sz w:val="18"/>
                <w:szCs w:val="18"/>
              </w:rPr>
              <w:t xml:space="preserve"> e </w:t>
            </w:r>
            <w:proofErr w:type="spellStart"/>
            <w:r>
              <w:rPr>
                <w:rFonts w:ascii="Arial" w:eastAsia="Arial" w:hAnsi="Arial" w:cs="Arial"/>
                <w:sz w:val="18"/>
                <w:szCs w:val="18"/>
              </w:rPr>
              <w:t>Drejtësisë</w:t>
            </w:r>
            <w:proofErr w:type="spellEnd"/>
            <w:r>
              <w:rPr>
                <w:rFonts w:ascii="Arial" w:eastAsia="Arial" w:hAnsi="Arial" w:cs="Arial"/>
                <w:sz w:val="18"/>
                <w:szCs w:val="18"/>
              </w:rPr>
              <w:t>, 2021.</w:t>
            </w:r>
          </w:p>
          <w:p w:rsidR="00D44F08" w:rsidRDefault="00D44F08">
            <w:pPr>
              <w:spacing w:after="200"/>
              <w:ind w:left="720"/>
              <w:rPr>
                <w:rFonts w:ascii="Arial" w:eastAsia="Arial" w:hAnsi="Arial" w:cs="Arial"/>
                <w:sz w:val="18"/>
                <w:szCs w:val="18"/>
              </w:rPr>
            </w:pPr>
          </w:p>
          <w:p w:rsidR="00D44F08" w:rsidRDefault="00D44F08">
            <w:pPr>
              <w:ind w:left="720"/>
              <w:rPr>
                <w:rFonts w:ascii="Arial" w:eastAsia="Arial" w:hAnsi="Arial" w:cs="Arial"/>
                <w:sz w:val="18"/>
                <w:szCs w:val="18"/>
              </w:rPr>
            </w:pPr>
          </w:p>
          <w:p w:rsidR="00D44F08" w:rsidRDefault="00DB10A2">
            <w:pPr>
              <w:jc w:val="both"/>
              <w:rPr>
                <w:rFonts w:ascii="Arial" w:eastAsia="Arial" w:hAnsi="Arial" w:cs="Arial"/>
                <w:b/>
                <w:sz w:val="18"/>
                <w:szCs w:val="18"/>
              </w:rPr>
            </w:pPr>
            <w:r>
              <w:rPr>
                <w:rFonts w:ascii="Arial" w:eastAsia="Arial" w:hAnsi="Arial" w:cs="Arial"/>
                <w:b/>
                <w:sz w:val="18"/>
                <w:szCs w:val="18"/>
              </w:rPr>
              <w:t xml:space="preserve">Legal </w:t>
            </w:r>
            <w:proofErr w:type="spellStart"/>
            <w:r>
              <w:rPr>
                <w:rFonts w:ascii="Arial" w:eastAsia="Arial" w:hAnsi="Arial" w:cs="Arial"/>
                <w:b/>
                <w:sz w:val="18"/>
                <w:szCs w:val="18"/>
              </w:rPr>
              <w:t>actes</w:t>
            </w:r>
            <w:proofErr w:type="spellEnd"/>
          </w:p>
          <w:p w:rsidR="00D44F08" w:rsidRDefault="00D44F08">
            <w:pPr>
              <w:jc w:val="both"/>
              <w:rPr>
                <w:rFonts w:ascii="Arial" w:eastAsia="Arial" w:hAnsi="Arial" w:cs="Arial"/>
                <w:b/>
                <w:sz w:val="18"/>
                <w:szCs w:val="18"/>
              </w:rPr>
            </w:pPr>
          </w:p>
          <w:p w:rsidR="00D44F08" w:rsidRDefault="00DB10A2">
            <w:pPr>
              <w:numPr>
                <w:ilvl w:val="0"/>
                <w:numId w:val="5"/>
              </w:numPr>
              <w:pBdr>
                <w:top w:val="nil"/>
                <w:left w:val="nil"/>
                <w:bottom w:val="nil"/>
                <w:right w:val="nil"/>
                <w:between w:val="nil"/>
              </w:pBdr>
              <w:spacing w:after="160" w:line="259" w:lineRule="auto"/>
              <w:jc w:val="both"/>
              <w:rPr>
                <w:rFonts w:ascii="Arial" w:eastAsia="Arial" w:hAnsi="Arial" w:cs="Arial"/>
                <w:color w:val="000000"/>
                <w:sz w:val="18"/>
                <w:szCs w:val="18"/>
              </w:rPr>
            </w:pPr>
            <w:r>
              <w:rPr>
                <w:rFonts w:ascii="Arial" w:eastAsia="Arial" w:hAnsi="Arial" w:cs="Arial"/>
                <w:color w:val="000000"/>
                <w:sz w:val="18"/>
                <w:szCs w:val="18"/>
              </w:rPr>
              <w:t>Law No. 06/L-016 ON BUSINESS ORGANIZATIONS</w:t>
            </w:r>
          </w:p>
          <w:p w:rsidR="00D44F08" w:rsidRDefault="00DB10A2">
            <w:pPr>
              <w:numPr>
                <w:ilvl w:val="0"/>
                <w:numId w:val="5"/>
              </w:numPr>
              <w:spacing w:line="259" w:lineRule="auto"/>
              <w:jc w:val="both"/>
              <w:rPr>
                <w:rFonts w:ascii="Arial" w:eastAsia="Arial" w:hAnsi="Arial" w:cs="Arial"/>
                <w:sz w:val="18"/>
                <w:szCs w:val="18"/>
              </w:rPr>
            </w:pPr>
            <w:r>
              <w:rPr>
                <w:rFonts w:ascii="Arial" w:eastAsia="Arial" w:hAnsi="Arial" w:cs="Arial"/>
                <w:sz w:val="18"/>
                <w:szCs w:val="18"/>
              </w:rPr>
              <w:t>Law No. 05/L-083 ON BANKRUPTCY</w:t>
            </w:r>
          </w:p>
          <w:p w:rsidR="00D44F08" w:rsidRDefault="00DB10A2">
            <w:pPr>
              <w:numPr>
                <w:ilvl w:val="0"/>
                <w:numId w:val="5"/>
              </w:numPr>
              <w:spacing w:line="259" w:lineRule="auto"/>
              <w:jc w:val="both"/>
              <w:rPr>
                <w:rFonts w:ascii="Arial" w:eastAsia="Arial" w:hAnsi="Arial" w:cs="Arial"/>
                <w:sz w:val="18"/>
                <w:szCs w:val="18"/>
              </w:rPr>
            </w:pPr>
            <w:r>
              <w:rPr>
                <w:rFonts w:ascii="Arial" w:eastAsia="Arial" w:hAnsi="Arial" w:cs="Arial"/>
                <w:sz w:val="18"/>
                <w:szCs w:val="18"/>
              </w:rPr>
              <w:t>Law No. 04/L-077 ON OBLIGATIONAL RELATIONSHIPS</w:t>
            </w:r>
          </w:p>
          <w:p w:rsidR="00D44F08" w:rsidRDefault="00DB10A2">
            <w:pPr>
              <w:numPr>
                <w:ilvl w:val="0"/>
                <w:numId w:val="5"/>
              </w:numPr>
              <w:spacing w:line="259" w:lineRule="auto"/>
              <w:jc w:val="both"/>
              <w:rPr>
                <w:rFonts w:ascii="Arial" w:eastAsia="Arial" w:hAnsi="Arial" w:cs="Arial"/>
                <w:sz w:val="18"/>
                <w:szCs w:val="18"/>
              </w:rPr>
            </w:pPr>
            <w:r>
              <w:rPr>
                <w:rFonts w:ascii="Arial" w:eastAsia="Arial" w:hAnsi="Arial" w:cs="Arial"/>
                <w:sz w:val="18"/>
                <w:szCs w:val="18"/>
              </w:rPr>
              <w:t>LAW NO. 08/L-015 ON COMMERCIAL COURT</w:t>
            </w:r>
          </w:p>
          <w:p w:rsidR="00D44F08" w:rsidRDefault="00DB10A2">
            <w:pPr>
              <w:numPr>
                <w:ilvl w:val="0"/>
                <w:numId w:val="5"/>
              </w:numPr>
              <w:spacing w:line="259" w:lineRule="auto"/>
              <w:jc w:val="both"/>
              <w:rPr>
                <w:rFonts w:ascii="Arial" w:eastAsia="Arial" w:hAnsi="Arial" w:cs="Arial"/>
                <w:sz w:val="18"/>
                <w:szCs w:val="18"/>
              </w:rPr>
            </w:pPr>
            <w:r>
              <w:rPr>
                <w:rFonts w:ascii="Arial" w:eastAsia="Arial" w:hAnsi="Arial" w:cs="Arial"/>
                <w:sz w:val="18"/>
                <w:szCs w:val="18"/>
              </w:rPr>
              <w:t>Law No. 02/L-75 ON ARBITRATION</w:t>
            </w:r>
          </w:p>
          <w:p w:rsidR="00D44F08" w:rsidRDefault="00DB10A2">
            <w:pPr>
              <w:numPr>
                <w:ilvl w:val="0"/>
                <w:numId w:val="5"/>
              </w:numPr>
              <w:spacing w:line="259" w:lineRule="auto"/>
              <w:jc w:val="both"/>
              <w:rPr>
                <w:rFonts w:ascii="Arial" w:eastAsia="Arial" w:hAnsi="Arial" w:cs="Arial"/>
                <w:sz w:val="18"/>
                <w:szCs w:val="18"/>
              </w:rPr>
            </w:pPr>
            <w:r>
              <w:rPr>
                <w:rFonts w:ascii="Arial" w:eastAsia="Arial" w:hAnsi="Arial" w:cs="Arial"/>
                <w:sz w:val="18"/>
                <w:szCs w:val="18"/>
              </w:rPr>
              <w:t>Law No. 03/L-057 ON MEDIATION</w:t>
            </w:r>
          </w:p>
          <w:p w:rsidR="00D44F08" w:rsidRDefault="00DB10A2">
            <w:pPr>
              <w:numPr>
                <w:ilvl w:val="0"/>
                <w:numId w:val="5"/>
              </w:numPr>
              <w:spacing w:line="259" w:lineRule="auto"/>
              <w:jc w:val="both"/>
              <w:rPr>
                <w:rFonts w:ascii="Arial" w:eastAsia="Arial" w:hAnsi="Arial" w:cs="Arial"/>
                <w:sz w:val="18"/>
                <w:szCs w:val="18"/>
              </w:rPr>
            </w:pPr>
            <w:r>
              <w:rPr>
                <w:rFonts w:ascii="Arial" w:eastAsia="Arial" w:hAnsi="Arial" w:cs="Arial"/>
                <w:sz w:val="18"/>
                <w:szCs w:val="18"/>
              </w:rPr>
              <w:t>Law No. 08/L-075 ON TRADEMARKS</w:t>
            </w:r>
          </w:p>
          <w:p w:rsidR="00D44F08" w:rsidRDefault="00DB10A2">
            <w:pPr>
              <w:numPr>
                <w:ilvl w:val="0"/>
                <w:numId w:val="5"/>
              </w:numPr>
              <w:spacing w:after="160" w:line="259" w:lineRule="auto"/>
              <w:jc w:val="both"/>
              <w:rPr>
                <w:rFonts w:ascii="Arial" w:eastAsia="Arial" w:hAnsi="Arial" w:cs="Arial"/>
                <w:sz w:val="18"/>
                <w:szCs w:val="18"/>
              </w:rPr>
            </w:pPr>
            <w:r>
              <w:rPr>
                <w:rFonts w:ascii="Arial" w:eastAsia="Arial" w:hAnsi="Arial" w:cs="Arial"/>
                <w:sz w:val="18"/>
                <w:szCs w:val="18"/>
              </w:rPr>
              <w:t>Law No. 04/L-029 ON PATENTS</w:t>
            </w:r>
          </w:p>
          <w:p w:rsidR="00D44F08" w:rsidRDefault="00D44F08">
            <w:pPr>
              <w:numPr>
                <w:ilvl w:val="0"/>
                <w:numId w:val="3"/>
              </w:numPr>
              <w:pBdr>
                <w:top w:val="nil"/>
                <w:left w:val="nil"/>
                <w:bottom w:val="nil"/>
                <w:right w:val="nil"/>
                <w:between w:val="nil"/>
              </w:pBdr>
              <w:spacing w:after="160" w:line="259" w:lineRule="auto"/>
              <w:jc w:val="both"/>
              <w:rPr>
                <w:rFonts w:ascii="Arial" w:eastAsia="Arial" w:hAnsi="Arial" w:cs="Arial"/>
                <w:color w:val="000000"/>
                <w:sz w:val="18"/>
                <w:szCs w:val="18"/>
              </w:rPr>
            </w:pPr>
          </w:p>
          <w:p w:rsidR="00D44F08" w:rsidRDefault="00DB10A2">
            <w:pPr>
              <w:rPr>
                <w:rFonts w:ascii="Arial" w:eastAsia="Arial" w:hAnsi="Arial" w:cs="Arial"/>
                <w:b/>
                <w:sz w:val="18"/>
                <w:szCs w:val="18"/>
              </w:rPr>
            </w:pPr>
            <w:r>
              <w:rPr>
                <w:rFonts w:ascii="Arial" w:eastAsia="Arial" w:hAnsi="Arial" w:cs="Arial"/>
                <w:b/>
                <w:color w:val="404040"/>
                <w:sz w:val="18"/>
                <w:szCs w:val="18"/>
              </w:rPr>
              <w:t xml:space="preserve">Additional literature: </w:t>
            </w:r>
            <w:r>
              <w:rPr>
                <w:rFonts w:ascii="Arial" w:eastAsia="Arial" w:hAnsi="Arial" w:cs="Arial"/>
                <w:sz w:val="18"/>
                <w:szCs w:val="18"/>
              </w:rPr>
              <w:t>Additional opportunities for studying and deepening of knowledge in this field are literature in the UBT Library.</w:t>
            </w:r>
          </w:p>
        </w:tc>
      </w:tr>
      <w:tr w:rsidR="00D44F08">
        <w:tc>
          <w:tcPr>
            <w:tcW w:w="1927" w:type="dxa"/>
            <w:tcBorders>
              <w:top w:val="single" w:sz="4" w:space="0" w:color="7F7F7F"/>
              <w:left w:val="single" w:sz="4" w:space="0" w:color="7F7F7F"/>
              <w:bottom w:val="single" w:sz="4" w:space="0" w:color="7F7F7F"/>
              <w:right w:val="nil"/>
            </w:tcBorders>
            <w:shd w:val="clear" w:color="auto" w:fill="D9E2F3"/>
            <w:vAlign w:val="center"/>
          </w:tcPr>
          <w:p w:rsidR="00D44F08" w:rsidRDefault="00DB10A2">
            <w:pPr>
              <w:rPr>
                <w:rFonts w:ascii="Arial" w:eastAsia="Arial" w:hAnsi="Arial" w:cs="Arial"/>
                <w:b/>
                <w:sz w:val="18"/>
                <w:szCs w:val="18"/>
              </w:rPr>
            </w:pPr>
            <w:r>
              <w:rPr>
                <w:rFonts w:ascii="Arial" w:eastAsia="Arial" w:hAnsi="Arial" w:cs="Arial"/>
                <w:b/>
                <w:sz w:val="18"/>
                <w:szCs w:val="18"/>
              </w:rPr>
              <w:t>Contact</w:t>
            </w:r>
          </w:p>
        </w:tc>
        <w:tc>
          <w:tcPr>
            <w:tcW w:w="8100" w:type="dxa"/>
            <w:gridSpan w:val="4"/>
            <w:tcBorders>
              <w:top w:val="single" w:sz="4" w:space="0" w:color="7F7F7F"/>
              <w:left w:val="nil"/>
              <w:bottom w:val="single" w:sz="4" w:space="0" w:color="7F7F7F"/>
              <w:right w:val="single" w:sz="4" w:space="0" w:color="7F7F7F"/>
            </w:tcBorders>
          </w:tcPr>
          <w:p w:rsidR="00D44F08" w:rsidRDefault="00D44F08">
            <w:pPr>
              <w:jc w:val="center"/>
              <w:rPr>
                <w:rFonts w:ascii="Arial" w:eastAsia="Arial" w:hAnsi="Arial" w:cs="Arial"/>
                <w:color w:val="404040"/>
                <w:sz w:val="18"/>
                <w:szCs w:val="18"/>
              </w:rPr>
            </w:pPr>
          </w:p>
          <w:p w:rsidR="00D44F08" w:rsidRDefault="00DB10A2">
            <w:pPr>
              <w:jc w:val="center"/>
              <w:rPr>
                <w:rFonts w:ascii="Arial" w:eastAsia="Arial" w:hAnsi="Arial" w:cs="Arial"/>
                <w:color w:val="404040"/>
                <w:sz w:val="18"/>
                <w:szCs w:val="18"/>
              </w:rPr>
            </w:pPr>
            <w:hyperlink r:id="rId7">
              <w:r>
                <w:rPr>
                  <w:rFonts w:ascii="Arial" w:eastAsia="Arial" w:hAnsi="Arial" w:cs="Arial"/>
                  <w:color w:val="0563C1"/>
                  <w:sz w:val="18"/>
                  <w:szCs w:val="18"/>
                  <w:u w:val="single"/>
                </w:rPr>
                <w:t>bashkim.nuredini@ubt-uni.net</w:t>
              </w:r>
            </w:hyperlink>
          </w:p>
          <w:p w:rsidR="00D44F08" w:rsidRDefault="00D44F08">
            <w:pPr>
              <w:jc w:val="center"/>
              <w:rPr>
                <w:rFonts w:ascii="Arial" w:eastAsia="Arial" w:hAnsi="Arial" w:cs="Arial"/>
                <w:color w:val="404040"/>
                <w:sz w:val="18"/>
                <w:szCs w:val="18"/>
              </w:rPr>
            </w:pPr>
          </w:p>
        </w:tc>
      </w:tr>
    </w:tbl>
    <w:p w:rsidR="00D44F08" w:rsidRDefault="00D44F08">
      <w:pPr>
        <w:jc w:val="center"/>
        <w:rPr>
          <w:rFonts w:ascii="Arial" w:eastAsia="Arial" w:hAnsi="Arial" w:cs="Arial"/>
          <w:b/>
          <w:sz w:val="18"/>
          <w:szCs w:val="18"/>
        </w:rPr>
      </w:pPr>
    </w:p>
    <w:p w:rsidR="00D44F08" w:rsidRDefault="00D44F08">
      <w:pPr>
        <w:rPr>
          <w:rFonts w:ascii="Arial" w:eastAsia="Arial" w:hAnsi="Arial" w:cs="Arial"/>
          <w:sz w:val="18"/>
          <w:szCs w:val="18"/>
        </w:rPr>
      </w:pPr>
    </w:p>
    <w:sectPr w:rsidR="00D44F08">
      <w:pgSz w:w="12240" w:h="15840"/>
      <w:pgMar w:top="864" w:right="1080" w:bottom="864"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wis721 Cn BT">
    <w:altName w:val="Calibri"/>
    <w:charset w:val="00"/>
    <w:family w:val="swiss"/>
    <w:pitch w:val="variable"/>
    <w:sig w:usb0="00000087" w:usb1="00000000" w:usb2="00000000" w:usb3="00000000" w:csb0="0000001B"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93C10"/>
    <w:multiLevelType w:val="multilevel"/>
    <w:tmpl w:val="ED3254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BA50EDC"/>
    <w:multiLevelType w:val="multilevel"/>
    <w:tmpl w:val="8C0057F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DC23342"/>
    <w:multiLevelType w:val="multilevel"/>
    <w:tmpl w:val="6E460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566DE5"/>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86124"/>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CC0096"/>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E01780C"/>
    <w:multiLevelType w:val="multilevel"/>
    <w:tmpl w:val="67989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08"/>
    <w:rsid w:val="00170C9C"/>
    <w:rsid w:val="00D44F08"/>
    <w:rsid w:val="00DB10A2"/>
    <w:rsid w:val="00FA5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E61D9-4B87-4A79-AA50-85AC18C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A77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786"/>
    <w:rPr>
      <w:rFonts w:ascii="Segoe UI" w:hAnsi="Segoe UI" w:cs="Segoe UI"/>
      <w:sz w:val="18"/>
      <w:szCs w:val="18"/>
      <w:lang w:val="en-GB"/>
    </w:rPr>
  </w:style>
  <w:style w:type="character" w:styleId="Hyperlink">
    <w:name w:val="Hyperlink"/>
    <w:basedOn w:val="DefaultParagraphFont"/>
    <w:uiPriority w:val="99"/>
    <w:unhideWhenUsed/>
    <w:rsid w:val="002D7A04"/>
    <w:rPr>
      <w:color w:val="0563C1" w:themeColor="hyperlink"/>
      <w:u w:val="single"/>
    </w:rPr>
  </w:style>
  <w:style w:type="character" w:styleId="PlaceholderText">
    <w:name w:val="Placeholder Text"/>
    <w:basedOn w:val="DefaultParagraphFont"/>
    <w:uiPriority w:val="99"/>
    <w:semiHidden/>
    <w:rsid w:val="00206098"/>
    <w:rPr>
      <w:color w:val="808080"/>
    </w:rPr>
  </w:style>
  <w:style w:type="paragraph" w:styleId="NoSpacing">
    <w:name w:val="No Spacing"/>
    <w:link w:val="NoSpacingChar"/>
    <w:uiPriority w:val="1"/>
    <w:qFormat/>
    <w:rsid w:val="005C0E21"/>
    <w:pPr>
      <w:spacing w:after="0" w:line="240" w:lineRule="auto"/>
    </w:pPr>
    <w:rPr>
      <w:rFonts w:cs="Times New Roman"/>
    </w:rPr>
  </w:style>
  <w:style w:type="character" w:customStyle="1" w:styleId="NoSpacingChar">
    <w:name w:val="No Spacing Char"/>
    <w:link w:val="NoSpacing"/>
    <w:uiPriority w:val="1"/>
    <w:rsid w:val="005C0E21"/>
    <w:rPr>
      <w:rFonts w:ascii="Calibri" w:eastAsia="Calibri" w:hAnsi="Calibri"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ashkim.nuredini@ubt-u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jAvguSegowF9rrQXCUNA728+ew==">AMUW2mWqGkeuqFZE1RH8xxVic3u3K+4D1Zy52QJ+WiEV9gsyOi2VC0EUh7owtF9B6IRa4Nvo795eX2bzq5DqxVritV27Q0vcOXHICwJDFFcIWFNL6SF5dOjQ33TP+5aw0ugYWb65lgPw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4926</Characters>
  <Application>Microsoft Office Word</Application>
  <DocSecurity>0</DocSecurity>
  <Lines>307</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2</cp:revision>
  <dcterms:created xsi:type="dcterms:W3CDTF">2023-01-19T18:29:00Z</dcterms:created>
  <dcterms:modified xsi:type="dcterms:W3CDTF">2023-01-19T18:29:00Z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d976505d066cf38f676723815db8f53bea0d6319e0cad735f4a016bf58b5fa5a</vt:lpwstr>
  </property>
</Properties>
</file>