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E9" w:rsidRDefault="00616207" w:rsidP="00616207">
      <w:pPr>
        <w:jc w:val="center"/>
      </w:pPr>
      <w:bookmarkStart w:id="0" w:name="_GoBack"/>
      <w:bookmarkEnd w:id="0"/>
      <w:r>
        <w:rPr>
          <w:rFonts w:ascii="Times New Roman" w:hAnsi="Times New Roman"/>
          <w:noProof/>
          <w:sz w:val="20"/>
          <w:szCs w:val="20"/>
          <w:lang w:val="en-US"/>
        </w:rPr>
        <w:drawing>
          <wp:inline distT="0" distB="0" distL="0" distR="0" wp14:anchorId="0B4A853F" wp14:editId="44E67510">
            <wp:extent cx="790575" cy="685800"/>
            <wp:effectExtent l="0" t="0" r="9525" b="0"/>
            <wp:docPr id="2" name="Picture 2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T%20Baner%20Bardh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207" w:rsidRDefault="007C0320" w:rsidP="003131E2">
      <w:pPr>
        <w:spacing w:after="0"/>
        <w:jc w:val="center"/>
      </w:pPr>
      <w:r>
        <w:t xml:space="preserve">Law LLB </w:t>
      </w:r>
    </w:p>
    <w:tbl>
      <w:tblPr>
        <w:tblW w:w="99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470"/>
      </w:tblGrid>
      <w:tr w:rsidR="00616207" w:rsidTr="00CF6310">
        <w:trPr>
          <w:trHeight w:val="105"/>
        </w:trPr>
        <w:tc>
          <w:tcPr>
            <w:tcW w:w="2520" w:type="dxa"/>
            <w:shd w:val="clear" w:color="auto" w:fill="8DB3E2" w:themeFill="text2" w:themeFillTint="66"/>
          </w:tcPr>
          <w:p w:rsidR="00111AF0" w:rsidRDefault="00111AF0" w:rsidP="00616207">
            <w:pPr>
              <w:jc w:val="center"/>
            </w:pPr>
          </w:p>
          <w:p w:rsidR="00616207" w:rsidRPr="00E16FCF" w:rsidRDefault="0017611F" w:rsidP="00D03D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Module</w:t>
            </w:r>
          </w:p>
        </w:tc>
        <w:tc>
          <w:tcPr>
            <w:tcW w:w="7470" w:type="dxa"/>
            <w:shd w:val="clear" w:color="auto" w:fill="8DB3E2" w:themeFill="text2" w:themeFillTint="66"/>
          </w:tcPr>
          <w:p w:rsidR="00EC1DCD" w:rsidRPr="00EC1DCD" w:rsidRDefault="00B7018A" w:rsidP="00D01E8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17611F">
              <w:rPr>
                <w:rFonts w:ascii="Arial" w:hAnsi="Arial" w:cs="Arial"/>
                <w:b/>
                <w:sz w:val="20"/>
                <w:szCs w:val="20"/>
              </w:rPr>
              <w:t>U Law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B76AC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="00EC1DCD" w:rsidRPr="00EC1D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C1DCD" w:rsidRDefault="00EC1DCD" w:rsidP="00D01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11AF0" w:rsidRPr="00E16FCF" w:rsidRDefault="0017611F" w:rsidP="00D01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</w:t>
            </w:r>
            <w:r w:rsidR="00111AF0" w:rsidRPr="00E16FCF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Semeste</w:t>
            </w:r>
            <w:r w:rsidR="00111AF0" w:rsidRPr="00E16FCF">
              <w:rPr>
                <w:rFonts w:ascii="Arial" w:hAnsi="Arial" w:cs="Arial"/>
                <w:sz w:val="20"/>
                <w:szCs w:val="20"/>
              </w:rPr>
              <w:t>r</w:t>
            </w:r>
            <w:r w:rsidR="00111AF0" w:rsidRPr="00E16FCF">
              <w:rPr>
                <w:rFonts w:ascii="Arial" w:hAnsi="Arial" w:cs="Arial"/>
                <w:sz w:val="20"/>
                <w:szCs w:val="20"/>
              </w:rPr>
              <w:tab/>
            </w:r>
            <w:r w:rsidR="00D04C1D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B029A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04C1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ECTS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Code</w:t>
            </w:r>
          </w:p>
          <w:p w:rsidR="00111AF0" w:rsidRPr="005E4FC6" w:rsidRDefault="0017611F" w:rsidP="0017611F">
            <w:pPr>
              <w:spacing w:after="0"/>
              <w:rPr>
                <w:sz w:val="20"/>
                <w:szCs w:val="20"/>
              </w:rPr>
            </w:pPr>
            <w:r w:rsidRPr="005E4FC6">
              <w:rPr>
                <w:rFonts w:ascii="Arial" w:hAnsi="Arial" w:cs="Arial"/>
                <w:sz w:val="20"/>
                <w:szCs w:val="20"/>
              </w:rPr>
              <w:t>MANDATORY (M</w:t>
            </w:r>
            <w:r w:rsidR="00111AF0" w:rsidRPr="005E4FC6">
              <w:rPr>
                <w:rFonts w:ascii="Arial" w:hAnsi="Arial" w:cs="Arial"/>
                <w:sz w:val="20"/>
                <w:szCs w:val="20"/>
              </w:rPr>
              <w:t>)</w:t>
            </w:r>
            <w:r w:rsidR="009C7CF6" w:rsidRPr="005E4FC6">
              <w:rPr>
                <w:rFonts w:ascii="Arial" w:hAnsi="Arial" w:cs="Arial"/>
                <w:sz w:val="20"/>
                <w:szCs w:val="20"/>
              </w:rPr>
              <w:t xml:space="preserve">                  V</w:t>
            </w:r>
            <w:r w:rsidR="003A5A4B" w:rsidRPr="005E4FC6">
              <w:rPr>
                <w:rFonts w:ascii="Arial" w:hAnsi="Arial" w:cs="Arial"/>
                <w:sz w:val="20"/>
                <w:szCs w:val="20"/>
              </w:rPr>
              <w:t>I</w:t>
            </w:r>
            <w:r w:rsidR="002E5C86" w:rsidRPr="005E4FC6">
              <w:rPr>
                <w:rFonts w:ascii="Arial" w:hAnsi="Arial" w:cs="Arial"/>
                <w:sz w:val="20"/>
                <w:szCs w:val="20"/>
              </w:rPr>
              <w:t xml:space="preserve">                          4</w:t>
            </w:r>
            <w:r w:rsidR="005F78C4" w:rsidRPr="005E4FC6">
              <w:rPr>
                <w:sz w:val="20"/>
                <w:szCs w:val="20"/>
              </w:rPr>
              <w:tab/>
              <w:t xml:space="preserve">           </w:t>
            </w:r>
            <w:r w:rsidR="005F78C4" w:rsidRPr="005E4FC6">
              <w:rPr>
                <w:rFonts w:ascii="Arial" w:hAnsi="Arial" w:cs="Arial"/>
                <w:sz w:val="20"/>
                <w:szCs w:val="20"/>
              </w:rPr>
              <w:t>Law-B-049</w:t>
            </w:r>
          </w:p>
        </w:tc>
      </w:tr>
      <w:tr w:rsidR="00616207" w:rsidTr="00BA5728">
        <w:trPr>
          <w:trHeight w:val="557"/>
        </w:trPr>
        <w:tc>
          <w:tcPr>
            <w:tcW w:w="2520" w:type="dxa"/>
            <w:shd w:val="clear" w:color="auto" w:fill="8DB3E2" w:themeFill="text2" w:themeFillTint="66"/>
          </w:tcPr>
          <w:p w:rsidR="00616207" w:rsidRDefault="0017611F" w:rsidP="009E2B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Lecturer</w:t>
            </w:r>
          </w:p>
          <w:p w:rsidR="0017611F" w:rsidRDefault="0017611F" w:rsidP="009E2B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Assistant</w:t>
            </w:r>
          </w:p>
          <w:p w:rsidR="0017611F" w:rsidRPr="009E2B32" w:rsidRDefault="0017611F" w:rsidP="009E2B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0" w:type="dxa"/>
          </w:tcPr>
          <w:p w:rsidR="00616207" w:rsidRDefault="0017611F" w:rsidP="00F70D77">
            <w:pPr>
              <w:spacing w:after="0"/>
            </w:pPr>
            <w:r>
              <w:t>Ass.Prof. Elton Tota</w:t>
            </w:r>
          </w:p>
        </w:tc>
      </w:tr>
      <w:tr w:rsidR="00616207" w:rsidTr="00CF6310">
        <w:trPr>
          <w:trHeight w:val="105"/>
        </w:trPr>
        <w:tc>
          <w:tcPr>
            <w:tcW w:w="2520" w:type="dxa"/>
            <w:shd w:val="clear" w:color="auto" w:fill="8DB3E2" w:themeFill="text2" w:themeFillTint="66"/>
          </w:tcPr>
          <w:p w:rsidR="00616207" w:rsidRDefault="0017611F" w:rsidP="00566544"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Aims and Objectives</w:t>
            </w:r>
          </w:p>
        </w:tc>
        <w:tc>
          <w:tcPr>
            <w:tcW w:w="7470" w:type="dxa"/>
          </w:tcPr>
          <w:p w:rsidR="00D7251D" w:rsidRDefault="00D7251D" w:rsidP="00D725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module (EU Law II) </w:t>
            </w:r>
            <w:r w:rsidR="002D1542">
              <w:rPr>
                <w:rFonts w:ascii="Arial" w:hAnsi="Arial" w:cs="Arial"/>
                <w:sz w:val="20"/>
                <w:szCs w:val="20"/>
              </w:rPr>
              <w:t>aims to provide</w:t>
            </w:r>
            <w:r w:rsidR="005A06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5043">
              <w:rPr>
                <w:rFonts w:ascii="Arial" w:hAnsi="Arial" w:cs="Arial"/>
                <w:sz w:val="20"/>
                <w:szCs w:val="20"/>
              </w:rPr>
              <w:t>advanced</w:t>
            </w:r>
            <w:r w:rsidR="00CC16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060D">
              <w:rPr>
                <w:rFonts w:ascii="Arial" w:hAnsi="Arial" w:cs="Arial"/>
                <w:sz w:val="20"/>
                <w:szCs w:val="20"/>
              </w:rPr>
              <w:t>knowledge of EU law focusing</w:t>
            </w:r>
            <w:r w:rsidR="002D1542">
              <w:rPr>
                <w:rFonts w:ascii="Arial" w:hAnsi="Arial" w:cs="Arial"/>
                <w:sz w:val="20"/>
                <w:szCs w:val="20"/>
              </w:rPr>
              <w:t xml:space="preserve"> mainly</w:t>
            </w:r>
            <w:r w:rsidR="005A060D">
              <w:rPr>
                <w:rFonts w:ascii="Arial" w:hAnsi="Arial" w:cs="Arial"/>
                <w:sz w:val="20"/>
                <w:szCs w:val="20"/>
              </w:rPr>
              <w:t xml:space="preserve"> on</w:t>
            </w:r>
            <w:r w:rsidR="0040460F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5A060D">
              <w:rPr>
                <w:rFonts w:ascii="Arial" w:hAnsi="Arial" w:cs="Arial"/>
                <w:sz w:val="20"/>
                <w:szCs w:val="20"/>
              </w:rPr>
              <w:t xml:space="preserve"> issues </w:t>
            </w:r>
            <w:r w:rsidR="00FC25D6">
              <w:rPr>
                <w:rFonts w:ascii="Arial" w:hAnsi="Arial" w:cs="Arial"/>
                <w:sz w:val="20"/>
                <w:szCs w:val="20"/>
              </w:rPr>
              <w:t>of</w:t>
            </w:r>
            <w:r w:rsidR="00CC168A">
              <w:rPr>
                <w:rFonts w:ascii="Arial" w:hAnsi="Arial" w:cs="Arial"/>
                <w:sz w:val="20"/>
                <w:szCs w:val="20"/>
              </w:rPr>
              <w:t xml:space="preserve"> Internal market </w:t>
            </w:r>
            <w:r w:rsidR="00142294">
              <w:rPr>
                <w:rFonts w:ascii="Arial" w:hAnsi="Arial" w:cs="Arial"/>
                <w:sz w:val="20"/>
                <w:szCs w:val="20"/>
              </w:rPr>
              <w:t>as an area of exclusive application</w:t>
            </w:r>
            <w:r w:rsidR="0040460F">
              <w:rPr>
                <w:rFonts w:ascii="Arial" w:hAnsi="Arial" w:cs="Arial"/>
                <w:sz w:val="20"/>
                <w:szCs w:val="20"/>
              </w:rPr>
              <w:t xml:space="preserve"> of the EU law as</w:t>
            </w:r>
            <w:r w:rsidR="00C91C66">
              <w:rPr>
                <w:rFonts w:ascii="Arial" w:hAnsi="Arial" w:cs="Arial"/>
                <w:sz w:val="20"/>
                <w:szCs w:val="20"/>
              </w:rPr>
              <w:t xml:space="preserve"> well as</w:t>
            </w:r>
            <w:r w:rsidR="005A060D">
              <w:rPr>
                <w:rFonts w:ascii="Arial" w:hAnsi="Arial" w:cs="Arial"/>
                <w:sz w:val="20"/>
                <w:szCs w:val="20"/>
              </w:rPr>
              <w:t xml:space="preserve"> further exploring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060D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constitutional, social and economic aspects of EU Law and Policy. The module aims to reflect the nature of EU Law a</w:t>
            </w:r>
            <w:r w:rsidR="00C91C66">
              <w:rPr>
                <w:rFonts w:ascii="Arial" w:hAnsi="Arial" w:cs="Arial"/>
                <w:sz w:val="20"/>
                <w:szCs w:val="20"/>
              </w:rPr>
              <w:t>nd its most recent developments.</w:t>
            </w:r>
            <w:r>
              <w:rPr>
                <w:rFonts w:ascii="Arial" w:hAnsi="Arial" w:cs="Arial"/>
                <w:sz w:val="20"/>
                <w:szCs w:val="20"/>
              </w:rPr>
              <w:t xml:space="preserve"> The module </w:t>
            </w:r>
            <w:r w:rsidR="00352C9C">
              <w:rPr>
                <w:rFonts w:ascii="Arial" w:hAnsi="Arial" w:cs="Arial"/>
                <w:sz w:val="20"/>
                <w:szCs w:val="20"/>
              </w:rPr>
              <w:t xml:space="preserve">is divided in two parts. The first part </w:t>
            </w:r>
            <w:r>
              <w:rPr>
                <w:rFonts w:ascii="Arial" w:hAnsi="Arial" w:cs="Arial"/>
                <w:sz w:val="20"/>
                <w:szCs w:val="20"/>
              </w:rPr>
              <w:t>covers the study of the EU internal market</w:t>
            </w:r>
            <w:r w:rsidR="003146BC">
              <w:rPr>
                <w:rFonts w:ascii="Arial" w:hAnsi="Arial" w:cs="Arial"/>
                <w:sz w:val="20"/>
                <w:szCs w:val="20"/>
              </w:rPr>
              <w:t xml:space="preserve"> elaborated through the ECJ case law</w:t>
            </w:r>
            <w:r w:rsidR="002D154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2C9C">
              <w:rPr>
                <w:rFonts w:ascii="Arial" w:hAnsi="Arial" w:cs="Arial"/>
                <w:sz w:val="20"/>
                <w:szCs w:val="20"/>
              </w:rPr>
              <w:t>the EU competition Law and Policy</w:t>
            </w:r>
            <w:r w:rsidR="002D1542">
              <w:rPr>
                <w:rFonts w:ascii="Arial" w:hAnsi="Arial" w:cs="Arial"/>
                <w:sz w:val="20"/>
                <w:szCs w:val="20"/>
              </w:rPr>
              <w:t xml:space="preserve"> as well as issues in regard with EU Intel</w:t>
            </w:r>
            <w:r w:rsidR="0040460F">
              <w:rPr>
                <w:rFonts w:ascii="Arial" w:hAnsi="Arial" w:cs="Arial"/>
                <w:sz w:val="20"/>
                <w:szCs w:val="20"/>
              </w:rPr>
              <w:t>l</w:t>
            </w:r>
            <w:r w:rsidR="002D1542">
              <w:rPr>
                <w:rFonts w:ascii="Arial" w:hAnsi="Arial" w:cs="Arial"/>
                <w:sz w:val="20"/>
                <w:szCs w:val="20"/>
              </w:rPr>
              <w:t>ectual Property Rights</w:t>
            </w:r>
            <w:r w:rsidR="00352C9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2C9C">
              <w:rPr>
                <w:rFonts w:ascii="Arial" w:hAnsi="Arial" w:cs="Arial"/>
                <w:sz w:val="20"/>
                <w:szCs w:val="20"/>
              </w:rPr>
              <w:t xml:space="preserve">While the second part </w:t>
            </w:r>
            <w:r w:rsidR="002D1542">
              <w:rPr>
                <w:rFonts w:ascii="Arial" w:hAnsi="Arial" w:cs="Arial"/>
                <w:sz w:val="20"/>
                <w:szCs w:val="20"/>
              </w:rPr>
              <w:t>deals with</w:t>
            </w:r>
            <w:r w:rsidR="00352C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issues of social policy,</w:t>
            </w:r>
            <w:r w:rsidR="00352C9C">
              <w:rPr>
                <w:rFonts w:ascii="Arial" w:hAnsi="Arial" w:cs="Arial"/>
                <w:sz w:val="20"/>
                <w:szCs w:val="20"/>
              </w:rPr>
              <w:t xml:space="preserve"> equal treatment,</w:t>
            </w:r>
            <w:r>
              <w:rPr>
                <w:rFonts w:ascii="Arial" w:hAnsi="Arial" w:cs="Arial"/>
                <w:sz w:val="20"/>
                <w:szCs w:val="20"/>
              </w:rPr>
              <w:t xml:space="preserve"> the concept of union citizenship and its relation with “third country nationals”</w:t>
            </w:r>
            <w:r w:rsidR="00EF2C86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352C9C">
              <w:rPr>
                <w:rFonts w:ascii="Arial" w:hAnsi="Arial" w:cs="Arial"/>
                <w:sz w:val="20"/>
                <w:szCs w:val="20"/>
              </w:rPr>
              <w:t xml:space="preserve"> mig</w:t>
            </w:r>
            <w:r w:rsidR="0040460F">
              <w:rPr>
                <w:rFonts w:ascii="Arial" w:hAnsi="Arial" w:cs="Arial"/>
                <w:sz w:val="20"/>
                <w:szCs w:val="20"/>
              </w:rPr>
              <w:t>r</w:t>
            </w:r>
            <w:r w:rsidR="00352C9C">
              <w:rPr>
                <w:rFonts w:ascii="Arial" w:hAnsi="Arial" w:cs="Arial"/>
                <w:sz w:val="20"/>
                <w:szCs w:val="20"/>
              </w:rPr>
              <w:t>ation law.</w:t>
            </w:r>
            <w:r w:rsidR="00396C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5043">
              <w:rPr>
                <w:rFonts w:ascii="Arial" w:hAnsi="Arial" w:cs="Arial"/>
                <w:sz w:val="20"/>
                <w:szCs w:val="20"/>
              </w:rPr>
              <w:t>The</w:t>
            </w:r>
            <w:r w:rsidR="00352C9C">
              <w:rPr>
                <w:rFonts w:ascii="Arial" w:hAnsi="Arial" w:cs="Arial"/>
                <w:sz w:val="20"/>
                <w:szCs w:val="20"/>
              </w:rPr>
              <w:t>n</w:t>
            </w:r>
            <w:r w:rsidR="00D950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2797">
              <w:rPr>
                <w:rFonts w:ascii="Arial" w:hAnsi="Arial" w:cs="Arial"/>
                <w:sz w:val="20"/>
                <w:szCs w:val="20"/>
              </w:rPr>
              <w:t xml:space="preserve">this part of </w:t>
            </w:r>
            <w:r w:rsidR="00352C9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D95043">
              <w:rPr>
                <w:rFonts w:ascii="Arial" w:hAnsi="Arial" w:cs="Arial"/>
                <w:sz w:val="20"/>
                <w:szCs w:val="20"/>
              </w:rPr>
              <w:t xml:space="preserve">module </w:t>
            </w:r>
            <w:r w:rsidR="00EF2C86">
              <w:rPr>
                <w:rFonts w:ascii="Arial" w:hAnsi="Arial" w:cs="Arial"/>
                <w:sz w:val="20"/>
                <w:szCs w:val="20"/>
              </w:rPr>
              <w:t>also</w:t>
            </w:r>
            <w:r w:rsidR="00D95043">
              <w:rPr>
                <w:rFonts w:ascii="Arial" w:hAnsi="Arial" w:cs="Arial"/>
                <w:sz w:val="20"/>
                <w:szCs w:val="20"/>
              </w:rPr>
              <w:t xml:space="preserve"> elaborates the development </w:t>
            </w:r>
            <w:r w:rsidR="006D0D34">
              <w:rPr>
                <w:rFonts w:ascii="Arial" w:hAnsi="Arial" w:cs="Arial"/>
                <w:sz w:val="20"/>
                <w:szCs w:val="20"/>
              </w:rPr>
              <w:t>in the A</w:t>
            </w:r>
            <w:r w:rsidR="0022551A">
              <w:rPr>
                <w:rFonts w:ascii="Arial" w:hAnsi="Arial" w:cs="Arial"/>
                <w:sz w:val="20"/>
                <w:szCs w:val="20"/>
              </w:rPr>
              <w:t>rea of</w:t>
            </w:r>
            <w:r w:rsidR="006D0D34">
              <w:rPr>
                <w:rFonts w:ascii="Arial" w:hAnsi="Arial" w:cs="Arial"/>
                <w:sz w:val="20"/>
                <w:szCs w:val="20"/>
              </w:rPr>
              <w:t xml:space="preserve"> Freedom, Security and Justice (</w:t>
            </w:r>
            <w:r w:rsidR="00D063CC">
              <w:rPr>
                <w:rFonts w:ascii="Arial" w:hAnsi="Arial" w:cs="Arial"/>
                <w:sz w:val="20"/>
                <w:szCs w:val="20"/>
              </w:rPr>
              <w:t>earlier known as CJHA</w:t>
            </w:r>
            <w:r w:rsidR="006D0D34">
              <w:rPr>
                <w:rFonts w:ascii="Arial" w:hAnsi="Arial" w:cs="Arial"/>
                <w:sz w:val="20"/>
                <w:szCs w:val="20"/>
              </w:rPr>
              <w:t>)</w:t>
            </w:r>
            <w:r w:rsidR="00093B01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6D0D34">
              <w:rPr>
                <w:rFonts w:ascii="Arial" w:hAnsi="Arial" w:cs="Arial"/>
                <w:sz w:val="20"/>
                <w:szCs w:val="20"/>
              </w:rPr>
              <w:t>Common Foreign and Security Policy (</w:t>
            </w:r>
            <w:r w:rsidR="00093B01">
              <w:rPr>
                <w:rFonts w:ascii="Arial" w:hAnsi="Arial" w:cs="Arial"/>
                <w:sz w:val="20"/>
                <w:szCs w:val="20"/>
              </w:rPr>
              <w:t>CFSP</w:t>
            </w:r>
            <w:r w:rsidR="006D0D34">
              <w:rPr>
                <w:rFonts w:ascii="Arial" w:hAnsi="Arial" w:cs="Arial"/>
                <w:sz w:val="20"/>
                <w:szCs w:val="20"/>
              </w:rPr>
              <w:t>)</w:t>
            </w:r>
            <w:r w:rsidR="00093B0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1DCD" w:rsidRPr="00D7251D" w:rsidRDefault="00EC1DCD" w:rsidP="00D725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207" w:rsidTr="00CF6310">
        <w:trPr>
          <w:trHeight w:val="105"/>
        </w:trPr>
        <w:tc>
          <w:tcPr>
            <w:tcW w:w="2520" w:type="dxa"/>
            <w:shd w:val="clear" w:color="auto" w:fill="8DB3E2" w:themeFill="text2" w:themeFillTint="66"/>
          </w:tcPr>
          <w:p w:rsidR="00616207" w:rsidRDefault="0017611F" w:rsidP="00BF409D">
            <w:r>
              <w:rPr>
                <w:b/>
              </w:rPr>
              <w:t>Learning Outcomes</w:t>
            </w:r>
          </w:p>
        </w:tc>
        <w:tc>
          <w:tcPr>
            <w:tcW w:w="7470" w:type="dxa"/>
          </w:tcPr>
          <w:p w:rsidR="00396C08" w:rsidRDefault="00396C08" w:rsidP="001062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the end of the semester, students should be able to a</w:t>
            </w:r>
            <w:r w:rsidR="0040460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dress the following features of EU Law:</w:t>
            </w:r>
          </w:p>
          <w:p w:rsidR="00184D92" w:rsidRPr="001D2640" w:rsidRDefault="00184D92" w:rsidP="00184D9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2640">
              <w:rPr>
                <w:rFonts w:ascii="Arial" w:hAnsi="Arial" w:cs="Arial"/>
                <w:sz w:val="20"/>
                <w:szCs w:val="20"/>
              </w:rPr>
              <w:t>Demonstrate an advanced un</w:t>
            </w:r>
            <w:r w:rsidR="0040460F">
              <w:rPr>
                <w:rFonts w:ascii="Arial" w:hAnsi="Arial" w:cs="Arial"/>
                <w:sz w:val="20"/>
                <w:szCs w:val="20"/>
              </w:rPr>
              <w:t>derstanding and be able to analyz</w:t>
            </w:r>
            <w:r w:rsidRPr="001D2640">
              <w:rPr>
                <w:rFonts w:ascii="Arial" w:hAnsi="Arial" w:cs="Arial"/>
                <w:sz w:val="20"/>
                <w:szCs w:val="20"/>
              </w:rPr>
              <w:t>e</w:t>
            </w:r>
            <w:r w:rsidR="0040460F">
              <w:rPr>
                <w:rFonts w:ascii="Arial" w:hAnsi="Arial" w:cs="Arial"/>
                <w:sz w:val="20"/>
                <w:szCs w:val="20"/>
              </w:rPr>
              <w:t>s</w:t>
            </w:r>
            <w:r w:rsidRPr="001D2640">
              <w:rPr>
                <w:rFonts w:ascii="Arial" w:hAnsi="Arial" w:cs="Arial"/>
                <w:sz w:val="20"/>
                <w:szCs w:val="20"/>
              </w:rPr>
              <w:t xml:space="preserve">, evaluate and interpret EU legal norms and their effect </w:t>
            </w:r>
            <w:r w:rsidR="006D4E1D" w:rsidRPr="001D2640">
              <w:rPr>
                <w:rFonts w:ascii="Arial" w:hAnsi="Arial" w:cs="Arial"/>
                <w:sz w:val="20"/>
                <w:szCs w:val="20"/>
              </w:rPr>
              <w:t>on</w:t>
            </w:r>
            <w:r w:rsidRPr="001D2640">
              <w:rPr>
                <w:rFonts w:ascii="Arial" w:hAnsi="Arial" w:cs="Arial"/>
                <w:sz w:val="20"/>
                <w:szCs w:val="20"/>
              </w:rPr>
              <w:t xml:space="preserve"> issues relating to the Internal market and to different EU and </w:t>
            </w:r>
            <w:r w:rsidR="00921764" w:rsidRPr="001D2640">
              <w:rPr>
                <w:rFonts w:ascii="Arial" w:hAnsi="Arial" w:cs="Arial"/>
                <w:sz w:val="20"/>
                <w:szCs w:val="20"/>
              </w:rPr>
              <w:t xml:space="preserve">EU </w:t>
            </w:r>
            <w:r w:rsidRPr="001D2640">
              <w:rPr>
                <w:rFonts w:ascii="Arial" w:hAnsi="Arial" w:cs="Arial"/>
                <w:sz w:val="20"/>
                <w:szCs w:val="20"/>
              </w:rPr>
              <w:t xml:space="preserve">Member State perspectives.  </w:t>
            </w:r>
          </w:p>
          <w:p w:rsidR="00184D92" w:rsidRPr="001D2640" w:rsidRDefault="00184D92" w:rsidP="00184D9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2640">
              <w:rPr>
                <w:rFonts w:ascii="Arial" w:hAnsi="Arial" w:cs="Arial"/>
                <w:sz w:val="20"/>
                <w:szCs w:val="20"/>
              </w:rPr>
              <w:t>Expla</w:t>
            </w:r>
            <w:r w:rsidR="006D4E1D" w:rsidRPr="001D2640">
              <w:rPr>
                <w:rFonts w:ascii="Arial" w:hAnsi="Arial" w:cs="Arial"/>
                <w:sz w:val="20"/>
                <w:szCs w:val="20"/>
              </w:rPr>
              <w:t>in and review the EU legal doctrine</w:t>
            </w:r>
            <w:r w:rsidRPr="001D2640">
              <w:rPr>
                <w:rFonts w:ascii="Arial" w:hAnsi="Arial" w:cs="Arial"/>
                <w:sz w:val="20"/>
                <w:szCs w:val="20"/>
              </w:rPr>
              <w:t>, construct arguments and ability to apply and implement the gained knowledged</w:t>
            </w:r>
            <w:r w:rsidR="006D4E1D" w:rsidRPr="001D2640"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Pr="001D2640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6D4E1D" w:rsidRPr="001D2640">
              <w:rPr>
                <w:rFonts w:ascii="Arial" w:hAnsi="Arial" w:cs="Arial"/>
                <w:sz w:val="20"/>
                <w:szCs w:val="20"/>
              </w:rPr>
              <w:t xml:space="preserve">EU or in relation to the national legal order of the EU Member states.   </w:t>
            </w:r>
            <w:r w:rsidRPr="001D264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D4E1D" w:rsidRPr="001D2640" w:rsidRDefault="006D4E1D" w:rsidP="00184D9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2640">
              <w:rPr>
                <w:rFonts w:ascii="Arial" w:hAnsi="Arial" w:cs="Arial"/>
                <w:sz w:val="20"/>
                <w:szCs w:val="20"/>
              </w:rPr>
              <w:t xml:space="preserve">Ability to </w:t>
            </w:r>
            <w:r w:rsidR="00921764" w:rsidRPr="001D2640">
              <w:rPr>
                <w:rFonts w:ascii="Arial" w:hAnsi="Arial" w:cs="Arial"/>
                <w:sz w:val="20"/>
                <w:szCs w:val="20"/>
              </w:rPr>
              <w:t xml:space="preserve">team work and </w:t>
            </w:r>
            <w:r w:rsidR="0040460F">
              <w:rPr>
                <w:rFonts w:ascii="Arial" w:hAnsi="Arial" w:cs="Arial"/>
                <w:sz w:val="20"/>
                <w:szCs w:val="20"/>
              </w:rPr>
              <w:t>execute res</w:t>
            </w:r>
            <w:r w:rsidRPr="001D2640">
              <w:rPr>
                <w:rFonts w:ascii="Arial" w:hAnsi="Arial" w:cs="Arial"/>
                <w:sz w:val="20"/>
                <w:szCs w:val="20"/>
              </w:rPr>
              <w:t>earch projects</w:t>
            </w:r>
            <w:r w:rsidR="00921764" w:rsidRPr="001D2640">
              <w:rPr>
                <w:rFonts w:ascii="Arial" w:hAnsi="Arial" w:cs="Arial"/>
                <w:sz w:val="20"/>
                <w:szCs w:val="20"/>
              </w:rPr>
              <w:t>, to gather and interpret data, to debate on EU legal developments, to develope the gathering and interpreting legal aspects as well as to draft and summarize legal opin</w:t>
            </w:r>
            <w:r w:rsidR="0040460F">
              <w:rPr>
                <w:rFonts w:ascii="Arial" w:hAnsi="Arial" w:cs="Arial"/>
                <w:sz w:val="20"/>
                <w:szCs w:val="20"/>
              </w:rPr>
              <w:t>i</w:t>
            </w:r>
            <w:r w:rsidR="00921764" w:rsidRPr="001D2640">
              <w:rPr>
                <w:rFonts w:ascii="Arial" w:hAnsi="Arial" w:cs="Arial"/>
                <w:sz w:val="20"/>
                <w:szCs w:val="20"/>
              </w:rPr>
              <w:t xml:space="preserve">ons.   </w:t>
            </w:r>
            <w:r w:rsidRPr="001D264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A27FA" w:rsidRPr="001D2640" w:rsidRDefault="00EA27FA" w:rsidP="00EA27F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2640">
              <w:rPr>
                <w:rFonts w:ascii="Arial" w:hAnsi="Arial" w:cs="Arial"/>
                <w:sz w:val="20"/>
                <w:szCs w:val="20"/>
              </w:rPr>
              <w:t xml:space="preserve">Communicate in an analytical way and ability to present arguments, orally as well as in writing, in a clear and comprehensible manner when performing about solving legal issues. </w:t>
            </w:r>
          </w:p>
          <w:p w:rsidR="001D4392" w:rsidRPr="006E76B4" w:rsidRDefault="001D4392" w:rsidP="00DE388D">
            <w:pPr>
              <w:spacing w:after="0" w:line="240" w:lineRule="auto"/>
              <w:ind w:left="702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207" w:rsidTr="00CF6310">
        <w:trPr>
          <w:trHeight w:val="105"/>
        </w:trPr>
        <w:tc>
          <w:tcPr>
            <w:tcW w:w="2520" w:type="dxa"/>
            <w:shd w:val="clear" w:color="auto" w:fill="8DB3E2" w:themeFill="text2" w:themeFillTint="66"/>
          </w:tcPr>
          <w:p w:rsidR="00616207" w:rsidRDefault="0017611F" w:rsidP="00EA3E35">
            <w:r>
              <w:rPr>
                <w:b/>
              </w:rPr>
              <w:t>Content</w:t>
            </w:r>
          </w:p>
        </w:tc>
        <w:tc>
          <w:tcPr>
            <w:tcW w:w="7470" w:type="dxa"/>
          </w:tcPr>
          <w:p w:rsidR="00616207" w:rsidRDefault="0017611F" w:rsidP="004771D6">
            <w:pPr>
              <w:shd w:val="clear" w:color="auto" w:fill="8DB3E2" w:themeFill="text2" w:themeFillTint="66"/>
              <w:rPr>
                <w:b/>
              </w:rPr>
            </w:pPr>
            <w:r>
              <w:rPr>
                <w:b/>
              </w:rPr>
              <w:t>Course Plan</w:t>
            </w:r>
            <w:r w:rsidR="00EA3E35" w:rsidRPr="00FE14B5">
              <w:rPr>
                <w:b/>
              </w:rPr>
              <w:tab/>
            </w:r>
            <w:r w:rsidR="00FE14B5">
              <w:rPr>
                <w:b/>
              </w:rPr>
              <w:t xml:space="preserve">                                                                                     </w:t>
            </w:r>
            <w:r w:rsidR="008F6166">
              <w:rPr>
                <w:b/>
              </w:rPr>
              <w:t xml:space="preserve">    </w:t>
            </w:r>
            <w:r w:rsidR="004771D6">
              <w:rPr>
                <w:b/>
              </w:rPr>
              <w:t xml:space="preserve">       </w:t>
            </w:r>
            <w:r>
              <w:rPr>
                <w:b/>
              </w:rPr>
              <w:t xml:space="preserve">    </w:t>
            </w:r>
            <w:r w:rsidR="00352940">
              <w:rPr>
                <w:b/>
              </w:rPr>
              <w:t xml:space="preserve"> </w:t>
            </w:r>
            <w:r>
              <w:rPr>
                <w:b/>
              </w:rPr>
              <w:t xml:space="preserve">  Week</w:t>
            </w:r>
          </w:p>
          <w:p w:rsidR="002D22BC" w:rsidRPr="004E7A97" w:rsidRDefault="00F82BF3" w:rsidP="002D22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7A97">
              <w:rPr>
                <w:rFonts w:ascii="Arial" w:hAnsi="Arial" w:cs="Arial"/>
                <w:sz w:val="20"/>
                <w:szCs w:val="20"/>
              </w:rPr>
              <w:t xml:space="preserve">Part </w:t>
            </w:r>
            <w:r w:rsidR="00966E44" w:rsidRPr="004E7A97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E7A97">
              <w:rPr>
                <w:rFonts w:ascii="Arial" w:hAnsi="Arial" w:cs="Arial"/>
                <w:sz w:val="20"/>
                <w:szCs w:val="20"/>
              </w:rPr>
              <w:t xml:space="preserve">I - </w:t>
            </w:r>
          </w:p>
          <w:p w:rsidR="00966E44" w:rsidRPr="004E7A97" w:rsidRDefault="00121D64" w:rsidP="002D22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7A97">
              <w:rPr>
                <w:rFonts w:ascii="Arial" w:hAnsi="Arial" w:cs="Arial"/>
                <w:sz w:val="20"/>
                <w:szCs w:val="20"/>
              </w:rPr>
              <w:t>1</w:t>
            </w:r>
            <w:r w:rsidR="002D22BC" w:rsidRPr="004E7A97">
              <w:rPr>
                <w:rFonts w:ascii="Arial" w:hAnsi="Arial" w:cs="Arial"/>
                <w:sz w:val="20"/>
                <w:szCs w:val="20"/>
              </w:rPr>
              <w:t>.</w:t>
            </w:r>
            <w:r w:rsidR="00966E44" w:rsidRPr="004E7A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7A97">
              <w:rPr>
                <w:rFonts w:ascii="Arial" w:hAnsi="Arial" w:cs="Arial"/>
                <w:sz w:val="20"/>
                <w:szCs w:val="20"/>
              </w:rPr>
              <w:t>Introduction -</w:t>
            </w:r>
            <w:r w:rsidR="004E7A97" w:rsidRPr="004E7A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6E44" w:rsidRPr="004E7A97">
              <w:rPr>
                <w:rFonts w:ascii="Arial" w:hAnsi="Arial" w:cs="Arial"/>
                <w:sz w:val="20"/>
                <w:szCs w:val="20"/>
              </w:rPr>
              <w:t>Founding Treaties and Community Law</w:t>
            </w:r>
            <w:r w:rsidR="00866247" w:rsidRPr="004E7A9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E7A97" w:rsidRPr="004E7A97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4E7A9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E7A97" w:rsidRPr="004E7A97">
              <w:rPr>
                <w:rFonts w:ascii="Arial" w:hAnsi="Arial" w:cs="Arial"/>
                <w:sz w:val="20"/>
                <w:szCs w:val="20"/>
              </w:rPr>
              <w:t>(I)</w:t>
            </w:r>
            <w:r w:rsidR="00866247" w:rsidRPr="004E7A97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4E7A97" w:rsidRPr="004E7A97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  <w:p w:rsidR="00121D64" w:rsidRPr="004E7A97" w:rsidRDefault="00121D64" w:rsidP="002D22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7A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E7A97" w:rsidRPr="004E7A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6E44" w:rsidRPr="004E7A97" w:rsidRDefault="00121D64" w:rsidP="002D22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7A97">
              <w:rPr>
                <w:rFonts w:ascii="Arial" w:hAnsi="Arial" w:cs="Arial"/>
                <w:sz w:val="20"/>
                <w:szCs w:val="20"/>
              </w:rPr>
              <w:t>2</w:t>
            </w:r>
            <w:r w:rsidR="00966E44" w:rsidRPr="004E7A97">
              <w:rPr>
                <w:rFonts w:ascii="Arial" w:hAnsi="Arial" w:cs="Arial"/>
                <w:sz w:val="20"/>
                <w:szCs w:val="20"/>
              </w:rPr>
              <w:t>. Common Market, creation and Operation</w:t>
            </w:r>
            <w:r w:rsidR="00866247" w:rsidRPr="004E7A9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(2)</w:t>
            </w:r>
          </w:p>
          <w:p w:rsidR="00966E44" w:rsidRPr="004E7A97" w:rsidRDefault="00966E44" w:rsidP="00966E4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E7A9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4E7A97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</w:t>
            </w:r>
          </w:p>
          <w:p w:rsidR="00E601DD" w:rsidRPr="004E7A97" w:rsidRDefault="00B47397" w:rsidP="00E601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7A97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E601DD" w:rsidRPr="004E7A97">
              <w:rPr>
                <w:rFonts w:ascii="Arial" w:hAnsi="Arial" w:cs="Arial"/>
                <w:sz w:val="20"/>
                <w:szCs w:val="20"/>
              </w:rPr>
              <w:t>Free movement of goods: Elimination of Trade Barriers</w:t>
            </w:r>
            <w:r w:rsidR="003834C8" w:rsidRPr="004E7A97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4E7A9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834C8" w:rsidRPr="004E7A97">
              <w:rPr>
                <w:rFonts w:ascii="Arial" w:hAnsi="Arial" w:cs="Arial"/>
                <w:sz w:val="20"/>
                <w:szCs w:val="20"/>
              </w:rPr>
              <w:t xml:space="preserve">   (3)</w:t>
            </w:r>
            <w:r w:rsidR="001A3272" w:rsidRPr="004E7A97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</w:p>
          <w:p w:rsidR="00E601DD" w:rsidRPr="004E7A97" w:rsidRDefault="00E601DD" w:rsidP="004E7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7A97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E601DD" w:rsidRPr="004E7A97" w:rsidRDefault="00546E44" w:rsidP="00E601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7A97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4E7A97" w:rsidRPr="004E7A97">
              <w:rPr>
                <w:rFonts w:ascii="Arial" w:hAnsi="Arial" w:cs="Arial"/>
                <w:sz w:val="20"/>
                <w:szCs w:val="20"/>
              </w:rPr>
              <w:t>Free movement of Services (and t</w:t>
            </w:r>
            <w:r w:rsidR="00E601DD" w:rsidRPr="004E7A97">
              <w:rPr>
                <w:rFonts w:ascii="Arial" w:hAnsi="Arial" w:cs="Arial"/>
                <w:sz w:val="20"/>
                <w:szCs w:val="20"/>
              </w:rPr>
              <w:t>he Right of Establishment)</w:t>
            </w:r>
            <w:r w:rsidR="001A3272" w:rsidRPr="004E7A97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4E7A97" w:rsidRPr="004E7A9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834C8" w:rsidRPr="004E7A9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E7A9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834C8" w:rsidRPr="004E7A97">
              <w:rPr>
                <w:rFonts w:ascii="Arial" w:hAnsi="Arial" w:cs="Arial"/>
                <w:sz w:val="20"/>
                <w:szCs w:val="20"/>
              </w:rPr>
              <w:t>(4)</w:t>
            </w:r>
            <w:r w:rsidR="001A3272" w:rsidRPr="004E7A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01DD" w:rsidRPr="004E7A97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  <w:p w:rsidR="00E601DD" w:rsidRPr="004E7A97" w:rsidRDefault="00E601DD" w:rsidP="004E7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7A97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E601DD" w:rsidRPr="004E7A97" w:rsidRDefault="00546E44" w:rsidP="00E601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7A97">
              <w:rPr>
                <w:rFonts w:ascii="Arial" w:hAnsi="Arial" w:cs="Arial"/>
                <w:sz w:val="20"/>
                <w:szCs w:val="20"/>
              </w:rPr>
              <w:t>5</w:t>
            </w:r>
            <w:r w:rsidR="00921AF5" w:rsidRPr="004E7A97">
              <w:rPr>
                <w:rFonts w:ascii="Arial" w:hAnsi="Arial" w:cs="Arial"/>
                <w:sz w:val="20"/>
                <w:szCs w:val="20"/>
              </w:rPr>
              <w:t>. Free movement of Persons</w:t>
            </w:r>
            <w:r w:rsidR="00E601DD" w:rsidRPr="004E7A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1AF5" w:rsidRPr="004E7A97">
              <w:rPr>
                <w:rFonts w:ascii="Arial" w:hAnsi="Arial" w:cs="Arial"/>
                <w:sz w:val="20"/>
                <w:szCs w:val="20"/>
              </w:rPr>
              <w:t>(</w:t>
            </w:r>
            <w:r w:rsidR="00E601DD" w:rsidRPr="004E7A97">
              <w:rPr>
                <w:rFonts w:ascii="Arial" w:hAnsi="Arial" w:cs="Arial"/>
                <w:sz w:val="20"/>
                <w:szCs w:val="20"/>
              </w:rPr>
              <w:t>Workers</w:t>
            </w:r>
            <w:r w:rsidR="00921AF5" w:rsidRPr="004E7A97">
              <w:rPr>
                <w:rFonts w:ascii="Arial" w:hAnsi="Arial" w:cs="Arial"/>
                <w:sz w:val="20"/>
                <w:szCs w:val="20"/>
              </w:rPr>
              <w:t>)</w:t>
            </w:r>
            <w:r w:rsidR="00E601DD" w:rsidRPr="004E7A97">
              <w:rPr>
                <w:rFonts w:ascii="Arial" w:hAnsi="Arial" w:cs="Arial"/>
                <w:sz w:val="20"/>
                <w:szCs w:val="20"/>
              </w:rPr>
              <w:t xml:space="preserve"> and Capital      </w:t>
            </w:r>
            <w:r w:rsidR="00C30AAF" w:rsidRPr="004E7A97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E601DD" w:rsidRPr="004E7A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0AAF" w:rsidRPr="004E7A97">
              <w:rPr>
                <w:rFonts w:ascii="Arial" w:hAnsi="Arial" w:cs="Arial"/>
                <w:sz w:val="20"/>
                <w:szCs w:val="20"/>
              </w:rPr>
              <w:t>(5)</w:t>
            </w:r>
            <w:r w:rsidR="00E601DD" w:rsidRPr="004E7A97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1A3272" w:rsidRPr="004E7A97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F82BF3" w:rsidRPr="004E7A97" w:rsidRDefault="00E601DD" w:rsidP="004E7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7A9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966E44" w:rsidRPr="004E7A97" w:rsidRDefault="00546E44" w:rsidP="002D22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7A97">
              <w:rPr>
                <w:rFonts w:ascii="Arial" w:hAnsi="Arial" w:cs="Arial"/>
                <w:sz w:val="20"/>
                <w:szCs w:val="20"/>
              </w:rPr>
              <w:t>6</w:t>
            </w:r>
            <w:r w:rsidR="0016278C" w:rsidRPr="004E7A97">
              <w:rPr>
                <w:rFonts w:ascii="Arial" w:hAnsi="Arial" w:cs="Arial"/>
                <w:sz w:val="20"/>
                <w:szCs w:val="20"/>
              </w:rPr>
              <w:t xml:space="preserve">. EU </w:t>
            </w:r>
            <w:r w:rsidR="00966E44" w:rsidRPr="004E7A97">
              <w:rPr>
                <w:rFonts w:ascii="Arial" w:hAnsi="Arial" w:cs="Arial"/>
                <w:sz w:val="20"/>
                <w:szCs w:val="20"/>
              </w:rPr>
              <w:t>Competition Law and Policy</w:t>
            </w:r>
            <w:r w:rsidR="00C30AAF" w:rsidRPr="004E7A97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="004E7A97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C30AAF" w:rsidRPr="004E7A97">
              <w:rPr>
                <w:rFonts w:ascii="Arial" w:hAnsi="Arial" w:cs="Arial"/>
                <w:sz w:val="20"/>
                <w:szCs w:val="20"/>
              </w:rPr>
              <w:t>(6)</w:t>
            </w:r>
          </w:p>
          <w:p w:rsidR="009030A7" w:rsidRPr="004E7A97" w:rsidRDefault="0016278C" w:rsidP="004E7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7A97">
              <w:rPr>
                <w:rFonts w:ascii="Arial" w:hAnsi="Arial" w:cs="Arial"/>
                <w:sz w:val="20"/>
                <w:szCs w:val="20"/>
              </w:rPr>
              <w:lastRenderedPageBreak/>
              <w:t xml:space="preserve">     </w:t>
            </w:r>
          </w:p>
          <w:p w:rsidR="009030A7" w:rsidRPr="004E7A97" w:rsidRDefault="009030A7" w:rsidP="00903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7A97">
              <w:rPr>
                <w:rFonts w:ascii="Arial" w:hAnsi="Arial" w:cs="Arial"/>
                <w:sz w:val="20"/>
                <w:szCs w:val="20"/>
              </w:rPr>
              <w:t>7. EU Intelectual Property Rights</w:t>
            </w:r>
            <w:r w:rsidR="003467C0" w:rsidRPr="004E7A97">
              <w:rPr>
                <w:rFonts w:ascii="Arial" w:hAnsi="Arial" w:cs="Arial"/>
                <w:sz w:val="20"/>
                <w:szCs w:val="20"/>
              </w:rPr>
              <w:t xml:space="preserve"> (IPR)</w:t>
            </w:r>
            <w:r w:rsidRPr="004E7A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0AAF" w:rsidRPr="004E7A9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(7)</w:t>
            </w:r>
          </w:p>
          <w:p w:rsidR="004E7A97" w:rsidRPr="004E7A97" w:rsidRDefault="004E7A97" w:rsidP="00121D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21D64" w:rsidRPr="004E7A97" w:rsidRDefault="009030A7" w:rsidP="00121D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7A97">
              <w:rPr>
                <w:rFonts w:ascii="Arial" w:hAnsi="Arial" w:cs="Arial"/>
                <w:sz w:val="20"/>
                <w:szCs w:val="20"/>
              </w:rPr>
              <w:t>8</w:t>
            </w:r>
            <w:r w:rsidR="00121D64" w:rsidRPr="004E7A9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B27FB" w:rsidRPr="004E7A97">
              <w:rPr>
                <w:rFonts w:ascii="Arial" w:hAnsi="Arial" w:cs="Arial"/>
                <w:sz w:val="20"/>
                <w:szCs w:val="20"/>
              </w:rPr>
              <w:t>The first colloquium</w:t>
            </w:r>
            <w:r w:rsidR="00F1282C" w:rsidRPr="004E7A9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(8)</w:t>
            </w:r>
          </w:p>
          <w:p w:rsidR="001B27FB" w:rsidRPr="004E7A97" w:rsidRDefault="001B27FB" w:rsidP="002D22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8FB" w:rsidRPr="004E7A97" w:rsidRDefault="00634B98" w:rsidP="002D22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7A97">
              <w:rPr>
                <w:rFonts w:ascii="Arial" w:hAnsi="Arial" w:cs="Arial"/>
                <w:sz w:val="20"/>
                <w:szCs w:val="20"/>
              </w:rPr>
              <w:t xml:space="preserve">Part </w:t>
            </w:r>
            <w:r w:rsidR="003812D9" w:rsidRPr="004E7A97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E7A97">
              <w:rPr>
                <w:rFonts w:ascii="Arial" w:hAnsi="Arial" w:cs="Arial"/>
                <w:sz w:val="20"/>
                <w:szCs w:val="20"/>
              </w:rPr>
              <w:t>II</w:t>
            </w:r>
            <w:r w:rsidR="00966E44" w:rsidRPr="004E7A97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F82BF3" w:rsidRPr="004E7A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A7C05" w:rsidRPr="004E7A97" w:rsidRDefault="009030A7" w:rsidP="00FA7C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7A97">
              <w:rPr>
                <w:rFonts w:ascii="Arial" w:hAnsi="Arial" w:cs="Arial"/>
                <w:sz w:val="20"/>
                <w:szCs w:val="20"/>
              </w:rPr>
              <w:t>9</w:t>
            </w:r>
            <w:r w:rsidR="00FA7C05" w:rsidRPr="004E7A97">
              <w:rPr>
                <w:rFonts w:ascii="Arial" w:hAnsi="Arial" w:cs="Arial"/>
                <w:sz w:val="20"/>
                <w:szCs w:val="20"/>
              </w:rPr>
              <w:t>.  European (Union) citizenship</w:t>
            </w:r>
            <w:r w:rsidR="00F1282C" w:rsidRPr="004E7A9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(9)</w:t>
            </w:r>
          </w:p>
          <w:p w:rsidR="004E7A97" w:rsidRPr="004E7A97" w:rsidRDefault="004E7A97" w:rsidP="00FA7C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7C05" w:rsidRPr="004E7A97" w:rsidRDefault="009030A7" w:rsidP="00FA7C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7A97">
              <w:rPr>
                <w:rFonts w:ascii="Arial" w:hAnsi="Arial" w:cs="Arial"/>
                <w:sz w:val="20"/>
                <w:szCs w:val="20"/>
              </w:rPr>
              <w:t>10</w:t>
            </w:r>
            <w:r w:rsidR="00FA7C05" w:rsidRPr="004E7A97">
              <w:rPr>
                <w:rFonts w:ascii="Arial" w:hAnsi="Arial" w:cs="Arial"/>
                <w:sz w:val="20"/>
                <w:szCs w:val="20"/>
              </w:rPr>
              <w:t xml:space="preserve">. Immigration and treatment of third country nationals </w:t>
            </w:r>
            <w:r w:rsidR="00F1282C" w:rsidRPr="004E7A97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4E7A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1282C" w:rsidRPr="004E7A97">
              <w:rPr>
                <w:rFonts w:ascii="Arial" w:hAnsi="Arial" w:cs="Arial"/>
                <w:sz w:val="20"/>
                <w:szCs w:val="20"/>
              </w:rPr>
              <w:t xml:space="preserve">        (10)</w:t>
            </w:r>
          </w:p>
          <w:p w:rsidR="004E7A97" w:rsidRPr="004E7A97" w:rsidRDefault="004E7A97" w:rsidP="00FA7C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7C05" w:rsidRPr="004E7A97" w:rsidRDefault="009030A7" w:rsidP="00FA7C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7A97">
              <w:rPr>
                <w:rFonts w:ascii="Arial" w:hAnsi="Arial" w:cs="Arial"/>
                <w:sz w:val="20"/>
                <w:szCs w:val="20"/>
              </w:rPr>
              <w:t>11</w:t>
            </w:r>
            <w:r w:rsidR="00FA7C05" w:rsidRPr="004E7A97">
              <w:rPr>
                <w:rFonts w:ascii="Arial" w:hAnsi="Arial" w:cs="Arial"/>
                <w:sz w:val="20"/>
                <w:szCs w:val="20"/>
              </w:rPr>
              <w:t>. Social Aspects of European Integration</w:t>
            </w:r>
            <w:r w:rsidR="00F1282C" w:rsidRPr="004E7A9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r w:rsidR="004E7A9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1282C" w:rsidRPr="004E7A97">
              <w:rPr>
                <w:rFonts w:ascii="Arial" w:hAnsi="Arial" w:cs="Arial"/>
                <w:sz w:val="20"/>
                <w:szCs w:val="20"/>
              </w:rPr>
              <w:t xml:space="preserve">  (11)</w:t>
            </w:r>
          </w:p>
          <w:p w:rsidR="004E7A97" w:rsidRPr="004E7A97" w:rsidRDefault="004E7A97" w:rsidP="002D22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44F5F" w:rsidRPr="004E7A97" w:rsidRDefault="009030A7" w:rsidP="002D22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7A97">
              <w:rPr>
                <w:rFonts w:ascii="Arial" w:hAnsi="Arial" w:cs="Arial"/>
                <w:sz w:val="20"/>
                <w:szCs w:val="20"/>
              </w:rPr>
              <w:t>12</w:t>
            </w:r>
            <w:r w:rsidR="00634B98" w:rsidRPr="004E7A9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2551A">
              <w:rPr>
                <w:rFonts w:ascii="Arial" w:hAnsi="Arial" w:cs="Arial"/>
                <w:sz w:val="20"/>
                <w:szCs w:val="20"/>
              </w:rPr>
              <w:t>Area of Freedom, Security and Justice (AFSJ</w:t>
            </w:r>
            <w:r w:rsidR="005A060D" w:rsidRPr="004E7A97">
              <w:rPr>
                <w:rFonts w:ascii="Arial" w:hAnsi="Arial" w:cs="Arial"/>
                <w:sz w:val="20"/>
                <w:szCs w:val="20"/>
              </w:rPr>
              <w:t>)</w:t>
            </w:r>
            <w:r w:rsidR="00406991" w:rsidRPr="004E7A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551A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406991" w:rsidRPr="004E7A9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4E7A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06991" w:rsidRPr="004E7A97">
              <w:rPr>
                <w:rFonts w:ascii="Arial" w:hAnsi="Arial" w:cs="Arial"/>
                <w:sz w:val="20"/>
                <w:szCs w:val="20"/>
              </w:rPr>
              <w:t xml:space="preserve"> (12)</w:t>
            </w:r>
          </w:p>
          <w:p w:rsidR="004E7A97" w:rsidRPr="004E7A97" w:rsidRDefault="004E7A97" w:rsidP="002D22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6E44" w:rsidRPr="004E7A97" w:rsidRDefault="009030A7" w:rsidP="002D22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7A97">
              <w:rPr>
                <w:rFonts w:ascii="Arial" w:hAnsi="Arial" w:cs="Arial"/>
                <w:sz w:val="20"/>
                <w:szCs w:val="20"/>
              </w:rPr>
              <w:t>13</w:t>
            </w:r>
            <w:r w:rsidR="00634B98" w:rsidRPr="004E7A9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66E44" w:rsidRPr="004E7A97">
              <w:rPr>
                <w:rFonts w:ascii="Arial" w:hAnsi="Arial" w:cs="Arial"/>
                <w:sz w:val="20"/>
                <w:szCs w:val="20"/>
              </w:rPr>
              <w:t>Common Foreign and Security Policy (CFSP)</w:t>
            </w:r>
            <w:r w:rsidR="00E3515C" w:rsidRPr="004E7A97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4E7A9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3515C" w:rsidRPr="004E7A97">
              <w:rPr>
                <w:rFonts w:ascii="Arial" w:hAnsi="Arial" w:cs="Arial"/>
                <w:sz w:val="20"/>
                <w:szCs w:val="20"/>
              </w:rPr>
              <w:t xml:space="preserve">   (13)</w:t>
            </w:r>
          </w:p>
          <w:p w:rsidR="004E7A97" w:rsidRPr="004E7A97" w:rsidRDefault="00B27C24" w:rsidP="004E7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7A9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634B98" w:rsidRPr="004E7A97" w:rsidRDefault="00634B98" w:rsidP="00634B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7A97">
              <w:rPr>
                <w:rFonts w:ascii="Arial" w:hAnsi="Arial" w:cs="Arial"/>
                <w:sz w:val="20"/>
                <w:szCs w:val="20"/>
              </w:rPr>
              <w:t xml:space="preserve">14. </w:t>
            </w:r>
            <w:r w:rsidR="001B27FB" w:rsidRPr="004E7A97">
              <w:rPr>
                <w:rFonts w:ascii="Arial" w:hAnsi="Arial" w:cs="Arial"/>
                <w:sz w:val="20"/>
                <w:szCs w:val="20"/>
              </w:rPr>
              <w:t>The second colloquium</w:t>
            </w:r>
            <w:r w:rsidR="00E3515C" w:rsidRPr="004E7A9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</w:t>
            </w:r>
            <w:r w:rsidR="004E7A9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3515C" w:rsidRPr="004E7A97">
              <w:rPr>
                <w:rFonts w:ascii="Arial" w:hAnsi="Arial" w:cs="Arial"/>
                <w:sz w:val="20"/>
                <w:szCs w:val="20"/>
              </w:rPr>
              <w:t xml:space="preserve">    (14)</w:t>
            </w:r>
          </w:p>
          <w:p w:rsidR="004E7A97" w:rsidRPr="004E7A97" w:rsidRDefault="004E7A97" w:rsidP="00FC2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054F5" w:rsidRPr="004E7A97" w:rsidRDefault="00634B98" w:rsidP="00FC2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7A97">
              <w:rPr>
                <w:rFonts w:ascii="Arial" w:hAnsi="Arial" w:cs="Arial"/>
                <w:sz w:val="20"/>
                <w:szCs w:val="20"/>
              </w:rPr>
              <w:t xml:space="preserve">15. Final Exam </w:t>
            </w:r>
            <w:r w:rsidR="00966E44" w:rsidRPr="004E7A9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E7A9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D14E2" w:rsidRPr="004E7A97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C47445" w:rsidRPr="004E7A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15C" w:rsidRPr="004E7A9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  <w:r w:rsidR="004E7A97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F842A8" w:rsidRPr="004E7A9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3515C" w:rsidRPr="004E7A97">
              <w:rPr>
                <w:rFonts w:ascii="Arial" w:hAnsi="Arial" w:cs="Arial"/>
                <w:sz w:val="20"/>
                <w:szCs w:val="20"/>
              </w:rPr>
              <w:t>(15)</w:t>
            </w:r>
          </w:p>
          <w:p w:rsidR="00AB13A2" w:rsidRPr="00886BE6" w:rsidRDefault="00AB13A2" w:rsidP="00FC2D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6207" w:rsidTr="00CF6310">
        <w:trPr>
          <w:trHeight w:val="105"/>
        </w:trPr>
        <w:tc>
          <w:tcPr>
            <w:tcW w:w="2520" w:type="dxa"/>
            <w:shd w:val="clear" w:color="auto" w:fill="8DB3E2" w:themeFill="text2" w:themeFillTint="66"/>
          </w:tcPr>
          <w:p w:rsidR="00616207" w:rsidRDefault="0017611F" w:rsidP="00FE26C0"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Teaching</w:t>
            </w:r>
            <w:r w:rsidR="00EE2346">
              <w:rPr>
                <w:rFonts w:ascii="Arial" w:hAnsi="Arial" w:cs="Arial"/>
                <w:b/>
                <w:sz w:val="20"/>
                <w:szCs w:val="20"/>
              </w:rPr>
              <w:t>/ Learning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Methods </w:t>
            </w:r>
          </w:p>
        </w:tc>
        <w:tc>
          <w:tcPr>
            <w:tcW w:w="7470" w:type="dxa"/>
          </w:tcPr>
          <w:p w:rsidR="00616207" w:rsidRPr="00FF5CC0" w:rsidRDefault="0017611F" w:rsidP="004771D6">
            <w:pPr>
              <w:shd w:val="clear" w:color="auto" w:fill="8DB3E2" w:themeFill="text2" w:themeFillTint="66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</w:t>
            </w:r>
            <w:r w:rsidR="00EE2346">
              <w:rPr>
                <w:rFonts w:ascii="Arial" w:hAnsi="Arial" w:cs="Arial"/>
                <w:b/>
                <w:sz w:val="20"/>
                <w:szCs w:val="20"/>
              </w:rPr>
              <w:t>/ Learning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Activities</w:t>
            </w:r>
            <w:r w:rsidR="00EE23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2346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</w:t>
            </w:r>
            <w:r w:rsidR="005A7E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C5A5C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C5A5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C25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52A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="00FC25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C5A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25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9319F">
              <w:rPr>
                <w:rFonts w:ascii="Arial" w:hAnsi="Arial" w:cs="Arial"/>
                <w:b/>
                <w:sz w:val="20"/>
                <w:szCs w:val="20"/>
              </w:rPr>
              <w:t xml:space="preserve">                  Weight </w:t>
            </w:r>
            <w:r w:rsidR="0079319F" w:rsidRPr="00FF5CC0">
              <w:rPr>
                <w:rFonts w:ascii="Arial" w:hAnsi="Arial" w:cs="Arial"/>
                <w:b/>
                <w:sz w:val="20"/>
                <w:szCs w:val="20"/>
              </w:rPr>
              <w:t>(%)</w:t>
            </w:r>
            <w:r w:rsidR="00AC5A5C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D939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C5A5C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="00D939A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E26C0" w:rsidRPr="00FF5CC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</w:t>
            </w:r>
            <w:r w:rsidR="00C03882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</w:p>
          <w:p w:rsidR="00543C45" w:rsidRPr="00FF5CC0" w:rsidRDefault="00543C45" w:rsidP="00D36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1</w:t>
            </w:r>
            <w:r w:rsidRPr="00FF5CC0">
              <w:rPr>
                <w:rFonts w:ascii="Arial" w:hAnsi="Arial" w:cs="Arial"/>
                <w:sz w:val="20"/>
                <w:szCs w:val="20"/>
              </w:rPr>
              <w:t>.</w:t>
            </w:r>
            <w:r w:rsidR="00614C31" w:rsidRPr="00FF5C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5C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4C31" w:rsidRPr="00FF5CC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E2346">
              <w:rPr>
                <w:rFonts w:ascii="Arial" w:hAnsi="Arial" w:cs="Arial"/>
                <w:sz w:val="20"/>
                <w:szCs w:val="20"/>
              </w:rPr>
              <w:t>Lectures</w:t>
            </w:r>
            <w:r w:rsidRPr="00FF5CC0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</w:t>
            </w:r>
            <w:r w:rsidR="00EE2346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C1560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F5CC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5452AD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AC14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5CC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B13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319F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F227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319F">
              <w:rPr>
                <w:rFonts w:ascii="Arial" w:hAnsi="Arial" w:cs="Arial"/>
                <w:sz w:val="20"/>
                <w:szCs w:val="20"/>
              </w:rPr>
              <w:t xml:space="preserve">   40%</w:t>
            </w:r>
            <w:r w:rsidRPr="00FF5CC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C5A5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F5CC0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5A7E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234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C5A5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E234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7611F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AC5A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5CC0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F03AD3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3D42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38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A7E70" w:rsidRDefault="00E24FB7" w:rsidP="00D36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43C45" w:rsidRPr="00FF5CC0">
              <w:rPr>
                <w:rFonts w:ascii="Arial" w:hAnsi="Arial" w:cs="Arial"/>
                <w:sz w:val="20"/>
                <w:szCs w:val="20"/>
              </w:rPr>
              <w:t>.</w:t>
            </w:r>
            <w:r w:rsidR="00614C31" w:rsidRPr="00FF5CC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15601">
              <w:rPr>
                <w:rFonts w:ascii="Arial" w:hAnsi="Arial" w:cs="Arial"/>
                <w:sz w:val="20"/>
                <w:szCs w:val="20"/>
              </w:rPr>
              <w:t>Case studies</w:t>
            </w:r>
            <w:r w:rsidR="00D25637">
              <w:rPr>
                <w:rFonts w:ascii="Arial" w:hAnsi="Arial" w:cs="Arial"/>
                <w:sz w:val="20"/>
                <w:szCs w:val="20"/>
              </w:rPr>
              <w:t xml:space="preserve"> exercises</w:t>
            </w:r>
            <w:r w:rsidR="0079319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70404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C141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91123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F2279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9319F">
              <w:rPr>
                <w:rFonts w:ascii="Arial" w:hAnsi="Arial" w:cs="Arial"/>
                <w:sz w:val="20"/>
                <w:szCs w:val="20"/>
              </w:rPr>
              <w:t>0%</w:t>
            </w:r>
          </w:p>
          <w:p w:rsidR="00E24FB7" w:rsidRDefault="00E24FB7" w:rsidP="00C156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   Legal Debate</w:t>
            </w:r>
            <w:r w:rsidR="005F29BB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r w:rsidR="005F29BB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674D0B">
              <w:rPr>
                <w:rFonts w:ascii="Arial" w:hAnsi="Arial" w:cs="Arial"/>
                <w:sz w:val="20"/>
                <w:szCs w:val="20"/>
              </w:rPr>
              <w:t xml:space="preserve">   20%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</w:t>
            </w:r>
            <w:r w:rsidRPr="00D815B5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032812" w:rsidRDefault="005F29BB" w:rsidP="00C156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32812">
              <w:rPr>
                <w:rFonts w:ascii="Arial" w:hAnsi="Arial" w:cs="Arial"/>
                <w:sz w:val="20"/>
                <w:szCs w:val="20"/>
              </w:rPr>
              <w:t>.</w:t>
            </w:r>
            <w:r w:rsidR="0005659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Reviews and </w:t>
            </w:r>
            <w:r w:rsidR="00056598">
              <w:rPr>
                <w:rFonts w:ascii="Arial" w:hAnsi="Arial" w:cs="Arial"/>
                <w:sz w:val="20"/>
                <w:szCs w:val="20"/>
              </w:rPr>
              <w:t>Project legal summaries</w:t>
            </w:r>
            <w:r w:rsidR="000328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319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r w:rsidR="00674D0B">
              <w:rPr>
                <w:rFonts w:ascii="Arial" w:hAnsi="Arial" w:cs="Arial"/>
                <w:sz w:val="20"/>
                <w:szCs w:val="20"/>
              </w:rPr>
              <w:t>10%</w:t>
            </w:r>
            <w:r w:rsidR="0079319F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F227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4FB7" w:rsidRDefault="005F29BB" w:rsidP="00C156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24FB7">
              <w:rPr>
                <w:rFonts w:ascii="Arial" w:hAnsi="Arial" w:cs="Arial"/>
                <w:sz w:val="20"/>
                <w:szCs w:val="20"/>
              </w:rPr>
              <w:t xml:space="preserve">.    Thesis seminars                                                     </w:t>
            </w:r>
            <w:r w:rsidR="004E7A97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E24FB7">
              <w:rPr>
                <w:rFonts w:ascii="Arial" w:hAnsi="Arial" w:cs="Arial"/>
                <w:sz w:val="20"/>
                <w:szCs w:val="20"/>
              </w:rPr>
              <w:t>10%</w:t>
            </w:r>
          </w:p>
          <w:p w:rsidR="00543C45" w:rsidRPr="005F29BB" w:rsidRDefault="005F29BB" w:rsidP="003869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44205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5A7E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0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2812">
              <w:rPr>
                <w:rFonts w:ascii="Arial" w:hAnsi="Arial" w:cs="Arial"/>
                <w:sz w:val="20"/>
                <w:szCs w:val="20"/>
              </w:rPr>
              <w:t xml:space="preserve">Guest speakers and video </w:t>
            </w:r>
            <w:r w:rsidR="00517496">
              <w:rPr>
                <w:rFonts w:ascii="Arial" w:hAnsi="Arial" w:cs="Arial"/>
                <w:sz w:val="20"/>
                <w:szCs w:val="20"/>
              </w:rPr>
              <w:t xml:space="preserve">Expose/ inserts </w:t>
            </w:r>
            <w:r w:rsidR="00543C45" w:rsidRPr="00FF5CC0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543C45" w:rsidRPr="00FF5CC0">
              <w:rPr>
                <w:rFonts w:ascii="Arial" w:hAnsi="Arial" w:cs="Arial"/>
                <w:sz w:val="20"/>
                <w:szCs w:val="20"/>
              </w:rPr>
              <w:tab/>
              <w:t xml:space="preserve">              </w:t>
            </w:r>
            <w:r w:rsidR="00614C31" w:rsidRPr="00FF5CC0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543C45" w:rsidRPr="00FF5CC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D42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16207" w:rsidTr="00CF6310">
        <w:trPr>
          <w:trHeight w:val="105"/>
        </w:trPr>
        <w:tc>
          <w:tcPr>
            <w:tcW w:w="2520" w:type="dxa"/>
            <w:shd w:val="clear" w:color="auto" w:fill="8DB3E2" w:themeFill="text2" w:themeFillTint="66"/>
          </w:tcPr>
          <w:p w:rsidR="00616207" w:rsidRPr="0066402E" w:rsidRDefault="0017611F" w:rsidP="00FD0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Assesment Methods</w:t>
            </w:r>
          </w:p>
        </w:tc>
        <w:tc>
          <w:tcPr>
            <w:tcW w:w="7470" w:type="dxa"/>
          </w:tcPr>
          <w:p w:rsidR="00616207" w:rsidRPr="00FF5CC0" w:rsidRDefault="0017611F" w:rsidP="004771D6">
            <w:pPr>
              <w:shd w:val="clear" w:color="auto" w:fill="8DB3E2" w:themeFill="text2" w:themeFillTint="66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Assesment Activity</w:t>
            </w:r>
            <w:r w:rsidR="00FD0328" w:rsidRPr="00FF5CC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0271B3" w:rsidRPr="00FF5CC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FF5CC0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2C2C6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BD4779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0A1395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Numbe</w:t>
            </w:r>
            <w:r w:rsidR="00FD0328" w:rsidRPr="00FF5CC0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FD0328" w:rsidRPr="00FF5CC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D47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25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C2C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Week</w:t>
            </w:r>
            <w:r w:rsidR="000271B3" w:rsidRPr="00FF5C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D477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939A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C25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2C8B">
              <w:rPr>
                <w:rFonts w:ascii="Arial" w:hAnsi="Arial" w:cs="Arial"/>
                <w:b/>
                <w:sz w:val="20"/>
                <w:szCs w:val="20"/>
              </w:rPr>
              <w:t xml:space="preserve">  Weight</w:t>
            </w:r>
            <w:r w:rsidR="00FD0328" w:rsidRPr="00FF5CC0">
              <w:rPr>
                <w:rFonts w:ascii="Arial" w:hAnsi="Arial" w:cs="Arial"/>
                <w:b/>
                <w:sz w:val="20"/>
                <w:szCs w:val="20"/>
              </w:rPr>
              <w:t xml:space="preserve"> (%)</w:t>
            </w:r>
          </w:p>
          <w:p w:rsidR="00E337EB" w:rsidRPr="00FF5CC0" w:rsidRDefault="00B4277D" w:rsidP="00D36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   </w:t>
            </w:r>
            <w:r w:rsidR="00321DBA">
              <w:rPr>
                <w:rFonts w:ascii="Arial" w:hAnsi="Arial" w:cs="Arial"/>
                <w:sz w:val="20"/>
                <w:szCs w:val="20"/>
              </w:rPr>
              <w:t>Colloquiumes</w:t>
            </w:r>
            <w:r w:rsidR="000328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1DB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A7E7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C2C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0712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337EB" w:rsidRPr="00FF5CC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2C6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A1395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2C2C64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0A139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C2C6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D47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C25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37EB" w:rsidRPr="00FF5C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3595">
              <w:rPr>
                <w:rFonts w:ascii="Arial" w:hAnsi="Arial" w:cs="Arial"/>
                <w:sz w:val="20"/>
                <w:szCs w:val="20"/>
              </w:rPr>
              <w:t>7</w:t>
            </w:r>
            <w:r w:rsidR="0084717F">
              <w:rPr>
                <w:rFonts w:ascii="Arial" w:hAnsi="Arial" w:cs="Arial"/>
                <w:sz w:val="20"/>
                <w:szCs w:val="20"/>
              </w:rPr>
              <w:t>,</w:t>
            </w:r>
            <w:r w:rsidR="00BD4779">
              <w:rPr>
                <w:rFonts w:ascii="Arial" w:hAnsi="Arial" w:cs="Arial"/>
                <w:sz w:val="20"/>
                <w:szCs w:val="20"/>
              </w:rPr>
              <w:t>14</w:t>
            </w:r>
            <w:r w:rsidR="00E337EB" w:rsidRPr="00FF5C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7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A7E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2B3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77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E2B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E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2F2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A1395">
              <w:rPr>
                <w:rFonts w:ascii="Arial" w:hAnsi="Arial" w:cs="Arial"/>
                <w:sz w:val="20"/>
                <w:szCs w:val="20"/>
              </w:rPr>
              <w:t>4</w:t>
            </w:r>
            <w:r w:rsidR="005A7E70" w:rsidRPr="00FF5CC0">
              <w:rPr>
                <w:rFonts w:ascii="Arial" w:hAnsi="Arial" w:cs="Arial"/>
                <w:sz w:val="20"/>
                <w:szCs w:val="20"/>
              </w:rPr>
              <w:t>0%</w:t>
            </w:r>
          </w:p>
          <w:p w:rsidR="00E337EB" w:rsidRPr="00FF5CC0" w:rsidRDefault="00C94D59" w:rsidP="00D36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    </w:t>
            </w:r>
            <w:r w:rsidR="002C2C64">
              <w:rPr>
                <w:rFonts w:ascii="Arial" w:hAnsi="Arial" w:cs="Arial"/>
                <w:sz w:val="20"/>
                <w:szCs w:val="20"/>
              </w:rPr>
              <w:t xml:space="preserve">Exercises </w:t>
            </w:r>
            <w:r w:rsidR="00D0368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337EB" w:rsidRPr="00FF5CC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C2C64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BD477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B427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779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B4277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337EB" w:rsidRPr="00FF5C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779">
              <w:rPr>
                <w:rFonts w:ascii="Arial" w:hAnsi="Arial" w:cs="Arial"/>
                <w:sz w:val="20"/>
                <w:szCs w:val="20"/>
              </w:rPr>
              <w:t xml:space="preserve">12 </w:t>
            </w:r>
            <w:r w:rsidR="000A139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D47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337EB" w:rsidRPr="00FF5C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7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25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779">
              <w:rPr>
                <w:rFonts w:ascii="Arial" w:hAnsi="Arial" w:cs="Arial"/>
                <w:sz w:val="20"/>
                <w:szCs w:val="20"/>
              </w:rPr>
              <w:t>1-6/</w:t>
            </w:r>
            <w:r w:rsidR="002C2C64">
              <w:rPr>
                <w:rFonts w:ascii="Arial" w:hAnsi="Arial" w:cs="Arial"/>
                <w:sz w:val="20"/>
                <w:szCs w:val="20"/>
              </w:rPr>
              <w:t>8-13</w:t>
            </w:r>
            <w:r w:rsidR="00842F20">
              <w:rPr>
                <w:rFonts w:ascii="Arial" w:hAnsi="Arial" w:cs="Arial"/>
                <w:sz w:val="20"/>
                <w:szCs w:val="20"/>
              </w:rPr>
              <w:t xml:space="preserve">         20%</w:t>
            </w:r>
            <w:r w:rsidR="00E337EB" w:rsidRPr="00FF5CC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40AB6" w:rsidRPr="00FF5CC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0388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337EB" w:rsidRPr="00AC5A5C" w:rsidRDefault="00842F20" w:rsidP="00D36EEC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5E4FC6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56598">
              <w:rPr>
                <w:rFonts w:ascii="Arial" w:hAnsi="Arial" w:cs="Arial"/>
                <w:sz w:val="20"/>
                <w:szCs w:val="20"/>
              </w:rPr>
              <w:t>Legal debates</w:t>
            </w:r>
            <w:r w:rsidR="002C2C64" w:rsidRPr="00FB1C42">
              <w:rPr>
                <w:rFonts w:ascii="Arial" w:hAnsi="Arial" w:cs="Arial"/>
                <w:sz w:val="20"/>
                <w:szCs w:val="20"/>
              </w:rPr>
              <w:t>/ Active Participation</w:t>
            </w:r>
            <w:r w:rsidR="00C94D59" w:rsidRPr="00FB1C4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5659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94D59" w:rsidRPr="00FB1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2C64" w:rsidRPr="00FB1C4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D4779" w:rsidRPr="00FB1C4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A1395" w:rsidRPr="00FB1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779" w:rsidRPr="00FB1C42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FC25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779" w:rsidRPr="00FB1C42">
              <w:rPr>
                <w:rFonts w:ascii="Arial" w:hAnsi="Arial" w:cs="Arial"/>
                <w:sz w:val="20"/>
                <w:szCs w:val="20"/>
              </w:rPr>
              <w:t>1-6/8-13</w:t>
            </w:r>
            <w:r w:rsidR="00E337EB" w:rsidRPr="00FB1C4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20%</w:t>
            </w:r>
            <w:r w:rsidR="00340AB6" w:rsidRPr="00FB1C42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67002C" w:rsidRPr="00FB1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3882" w:rsidRPr="00FB1C4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337EB" w:rsidRDefault="00842F20" w:rsidP="00C038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5E4FC6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56598">
              <w:rPr>
                <w:rFonts w:ascii="Arial" w:hAnsi="Arial" w:cs="Arial"/>
                <w:sz w:val="20"/>
                <w:szCs w:val="20"/>
              </w:rPr>
              <w:t xml:space="preserve">Project legal summaries     </w:t>
            </w:r>
            <w:r w:rsidR="00E337EB" w:rsidRPr="00FF5CC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D4779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0A139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D47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139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779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4250C0">
              <w:rPr>
                <w:rFonts w:ascii="Arial" w:hAnsi="Arial" w:cs="Arial"/>
                <w:sz w:val="20"/>
                <w:szCs w:val="20"/>
              </w:rPr>
              <w:t>7,</w:t>
            </w:r>
            <w:r w:rsidR="00BD4779">
              <w:rPr>
                <w:rFonts w:ascii="Arial" w:hAnsi="Arial" w:cs="Arial"/>
                <w:sz w:val="20"/>
                <w:szCs w:val="20"/>
              </w:rPr>
              <w:t>14</w:t>
            </w:r>
            <w:r w:rsidR="007040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0AB6" w:rsidRPr="00FF5CC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A1395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BD477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A1395">
              <w:rPr>
                <w:rFonts w:ascii="Arial" w:hAnsi="Arial" w:cs="Arial"/>
                <w:sz w:val="20"/>
                <w:szCs w:val="20"/>
              </w:rPr>
              <w:t>2</w:t>
            </w:r>
            <w:r w:rsidR="00C03882">
              <w:rPr>
                <w:rFonts w:ascii="Arial" w:hAnsi="Arial" w:cs="Arial"/>
                <w:sz w:val="20"/>
                <w:szCs w:val="20"/>
              </w:rPr>
              <w:t>0%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5</w:t>
            </w:r>
            <w:r w:rsidR="00E337EB" w:rsidRPr="00FF5CC0">
              <w:rPr>
                <w:rFonts w:ascii="Arial" w:hAnsi="Arial" w:cs="Arial"/>
                <w:sz w:val="20"/>
                <w:szCs w:val="20"/>
              </w:rPr>
              <w:t xml:space="preserve">.     </w:t>
            </w:r>
            <w:r w:rsidR="00F76A1A">
              <w:rPr>
                <w:rFonts w:ascii="Arial" w:hAnsi="Arial" w:cs="Arial"/>
                <w:sz w:val="20"/>
                <w:szCs w:val="20"/>
              </w:rPr>
              <w:t>Seminar Paper</w:t>
            </w:r>
            <w:r w:rsidR="00E337EB" w:rsidRPr="00FF5CC0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5A7E7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E337EB" w:rsidRPr="00FF5C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2C64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DE186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2C2C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37EB" w:rsidRPr="00FF5CC0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98359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337EB" w:rsidRPr="00FF5C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13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779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0A139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D477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452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779">
              <w:rPr>
                <w:rFonts w:ascii="Arial" w:hAnsi="Arial" w:cs="Arial"/>
                <w:sz w:val="20"/>
                <w:szCs w:val="20"/>
              </w:rPr>
              <w:t xml:space="preserve">    15          </w:t>
            </w:r>
            <w:r w:rsidR="00DE18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77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C2C6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337EB" w:rsidRPr="00FF5CC0">
              <w:rPr>
                <w:rFonts w:ascii="Arial" w:hAnsi="Arial" w:cs="Arial"/>
                <w:sz w:val="20"/>
                <w:szCs w:val="20"/>
              </w:rPr>
              <w:t>100%</w:t>
            </w:r>
          </w:p>
          <w:p w:rsidR="005A7E70" w:rsidRPr="00D0368B" w:rsidRDefault="00842F20" w:rsidP="002C2C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A7E70">
              <w:rPr>
                <w:rFonts w:ascii="Arial" w:hAnsi="Arial" w:cs="Arial"/>
                <w:sz w:val="20"/>
                <w:szCs w:val="20"/>
              </w:rPr>
              <w:t xml:space="preserve">.     </w:t>
            </w:r>
            <w:r w:rsidR="00F76A1A">
              <w:rPr>
                <w:rFonts w:ascii="Arial" w:hAnsi="Arial" w:cs="Arial"/>
                <w:sz w:val="20"/>
                <w:szCs w:val="20"/>
              </w:rPr>
              <w:t>Final Exam</w:t>
            </w:r>
            <w:r w:rsidR="009E2B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2C64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BD4779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FB23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77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0A139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76A1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D4779">
              <w:rPr>
                <w:rFonts w:ascii="Arial" w:hAnsi="Arial" w:cs="Arial"/>
                <w:sz w:val="20"/>
                <w:szCs w:val="20"/>
              </w:rPr>
              <w:t>15</w:t>
            </w:r>
            <w:r w:rsidR="002C2C64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5A7E7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A7E70" w:rsidRPr="00FF5CC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616207" w:rsidTr="00CF6310">
        <w:trPr>
          <w:trHeight w:val="105"/>
        </w:trPr>
        <w:tc>
          <w:tcPr>
            <w:tcW w:w="2520" w:type="dxa"/>
            <w:shd w:val="clear" w:color="auto" w:fill="8DB3E2" w:themeFill="text2" w:themeFillTint="66"/>
          </w:tcPr>
          <w:p w:rsidR="00616207" w:rsidRPr="0066402E" w:rsidRDefault="00D471A1" w:rsidP="00257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Sources and tools of concretization</w:t>
            </w:r>
            <w:r w:rsidR="0025781C" w:rsidRPr="0066402E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7470" w:type="dxa"/>
          </w:tcPr>
          <w:p w:rsidR="00616207" w:rsidRPr="0066402E" w:rsidRDefault="00D471A1" w:rsidP="004771D6">
            <w:pPr>
              <w:shd w:val="clear" w:color="auto" w:fill="8DB3E2" w:themeFill="text2" w:themeFillTint="66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Tools</w:t>
            </w:r>
            <w:r w:rsidR="0025781C" w:rsidRPr="0066402E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  <w:r w:rsidR="0025781C" w:rsidRPr="0066402E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                                                              </w:t>
            </w:r>
          </w:p>
          <w:p w:rsidR="00107129" w:rsidRDefault="005C7FF3" w:rsidP="00D36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   </w:t>
            </w:r>
            <w:r w:rsidR="002E44EF">
              <w:rPr>
                <w:rFonts w:ascii="Arial" w:hAnsi="Arial" w:cs="Arial"/>
                <w:sz w:val="20"/>
                <w:szCs w:val="20"/>
              </w:rPr>
              <w:t xml:space="preserve">Classroom </w:t>
            </w:r>
            <w:r>
              <w:rPr>
                <w:rFonts w:ascii="Arial" w:hAnsi="Arial" w:cs="Arial"/>
                <w:sz w:val="20"/>
                <w:szCs w:val="20"/>
              </w:rPr>
              <w:t>Lectures</w:t>
            </w:r>
            <w:r w:rsidR="0079350F" w:rsidRPr="0066402E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                      </w:t>
            </w:r>
            <w:r w:rsidR="00AC70C2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EE3C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140E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107129" w:rsidRDefault="005C7FF3" w:rsidP="00D36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    Literature</w:t>
            </w:r>
            <w:r w:rsidR="004D2C8B">
              <w:rPr>
                <w:rFonts w:ascii="Arial" w:hAnsi="Arial" w:cs="Arial"/>
                <w:sz w:val="20"/>
                <w:szCs w:val="20"/>
              </w:rPr>
              <w:t xml:space="preserve"> (library and e-library)</w:t>
            </w:r>
            <w:r w:rsidR="00AC70C2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C0388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:rsidR="0084717F" w:rsidRDefault="002E44EF" w:rsidP="006952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4717F">
              <w:rPr>
                <w:rFonts w:ascii="Arial" w:hAnsi="Arial" w:cs="Arial"/>
                <w:sz w:val="20"/>
                <w:szCs w:val="20"/>
              </w:rPr>
              <w:t xml:space="preserve">.     Moodle </w:t>
            </w:r>
          </w:p>
          <w:p w:rsidR="0079350F" w:rsidRPr="006952D8" w:rsidRDefault="002E44EF" w:rsidP="006952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44CC4">
              <w:rPr>
                <w:rFonts w:ascii="Arial" w:hAnsi="Arial" w:cs="Arial"/>
                <w:sz w:val="20"/>
                <w:szCs w:val="20"/>
              </w:rPr>
              <w:t>.     Projector</w:t>
            </w:r>
            <w:r w:rsidR="0079350F" w:rsidRPr="006640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350F" w:rsidRPr="0066402E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                        </w:t>
            </w:r>
            <w:r w:rsidR="006952D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79350F">
              <w:t xml:space="preserve">                  </w:t>
            </w:r>
            <w:r w:rsidR="008F5026">
              <w:t xml:space="preserve">                   </w:t>
            </w:r>
            <w:r w:rsidR="004E02C2">
              <w:t xml:space="preserve">     </w:t>
            </w:r>
            <w:r w:rsidR="00C03882">
              <w:t xml:space="preserve">          </w:t>
            </w:r>
          </w:p>
        </w:tc>
      </w:tr>
      <w:tr w:rsidR="00616207" w:rsidTr="00CF6310">
        <w:trPr>
          <w:trHeight w:val="105"/>
        </w:trPr>
        <w:tc>
          <w:tcPr>
            <w:tcW w:w="2520" w:type="dxa"/>
            <w:shd w:val="clear" w:color="auto" w:fill="8DB3E2" w:themeFill="text2" w:themeFillTint="66"/>
          </w:tcPr>
          <w:p w:rsidR="00616207" w:rsidRPr="00AA5134" w:rsidRDefault="002E1F5F" w:rsidP="00616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Workload</w:t>
            </w:r>
            <w:r w:rsidR="00D471A1" w:rsidRPr="00D471A1">
              <w:rPr>
                <w:rFonts w:ascii="Arial" w:hAnsi="Arial" w:cs="Arial"/>
                <w:b/>
                <w:sz w:val="20"/>
                <w:szCs w:val="20"/>
              </w:rPr>
              <w:t xml:space="preserve"> and activities</w:t>
            </w:r>
          </w:p>
        </w:tc>
        <w:tc>
          <w:tcPr>
            <w:tcW w:w="7470" w:type="dxa"/>
          </w:tcPr>
          <w:p w:rsidR="00616207" w:rsidRPr="007D3DBB" w:rsidRDefault="00D471A1" w:rsidP="00AC5B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C3487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>Activity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   </w:t>
            </w:r>
            <w:r w:rsidR="0083583F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        </w:t>
            </w:r>
            <w:r w:rsidR="00A92AC3" w:rsidRPr="007D3DBB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   </w:t>
            </w:r>
            <w:r w:rsidR="007D3DBB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             </w:t>
            </w:r>
            <w:r w:rsidR="00A92AC3" w:rsidRPr="007D3DBB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 </w:t>
            </w:r>
            <w:r w:rsidR="007D3DBB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 </w:t>
            </w:r>
            <w:r w:rsidR="002E1F5F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                  </w:t>
            </w:r>
            <w:r w:rsidR="00E52EF3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                 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>Week</w:t>
            </w:r>
            <w:r w:rsidR="002E1F5F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>ly hrs</w:t>
            </w:r>
            <w:r w:rsidR="00E52EF3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 </w:t>
            </w:r>
            <w:r w:rsidR="007D3DBB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  </w:t>
            </w:r>
            <w:r w:rsidR="00A92AC3" w:rsidRPr="007D3DBB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 </w:t>
            </w:r>
            <w:r w:rsidR="00416E97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   T</w:t>
            </w:r>
            <w:r w:rsidR="00A92AC3" w:rsidRPr="007D3DBB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tal workload    </w:t>
            </w:r>
          </w:p>
          <w:p w:rsidR="00445B0D" w:rsidRDefault="00F468FD" w:rsidP="000950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DBB">
              <w:rPr>
                <w:rFonts w:ascii="Arial" w:hAnsi="Arial" w:cs="Arial"/>
                <w:sz w:val="20"/>
                <w:szCs w:val="20"/>
              </w:rPr>
              <w:t xml:space="preserve">1.     </w:t>
            </w:r>
            <w:r w:rsidR="005C7FF3">
              <w:rPr>
                <w:rFonts w:ascii="Arial" w:hAnsi="Arial" w:cs="Arial"/>
                <w:sz w:val="20"/>
                <w:szCs w:val="20"/>
              </w:rPr>
              <w:t>Lectures</w:t>
            </w:r>
            <w:r w:rsidR="00AC5B77" w:rsidRPr="007D3DBB">
              <w:rPr>
                <w:rFonts w:ascii="Arial" w:hAnsi="Arial" w:cs="Arial"/>
                <w:sz w:val="20"/>
                <w:szCs w:val="20"/>
              </w:rPr>
              <w:tab/>
              <w:t xml:space="preserve">         </w:t>
            </w:r>
            <w:r w:rsidR="006C140E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7D3D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65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EF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D3DB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C5B77" w:rsidRPr="007D3DB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52E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5B77" w:rsidRPr="007D3DBB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E52EF3">
              <w:rPr>
                <w:rFonts w:ascii="Arial" w:hAnsi="Arial" w:cs="Arial"/>
                <w:sz w:val="20"/>
                <w:szCs w:val="20"/>
              </w:rPr>
              <w:t>2</w:t>
            </w:r>
            <w:r w:rsidR="00AC5B77" w:rsidRPr="007D3DB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B555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E1F5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250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5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793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250C0">
              <w:rPr>
                <w:rFonts w:ascii="Arial" w:hAnsi="Arial" w:cs="Arial"/>
                <w:sz w:val="20"/>
                <w:szCs w:val="20"/>
              </w:rPr>
              <w:t xml:space="preserve">30h </w:t>
            </w:r>
            <w:r w:rsidR="00B555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537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E02C2" w:rsidRPr="007D3DB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C5B77" w:rsidRPr="007D3DBB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6952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5B77" w:rsidRPr="007D3DBB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014C35" w:rsidRPr="007D3D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AB8" w:rsidRPr="007D3D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02C2" w:rsidRPr="007D3D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5B77" w:rsidRPr="007D3DB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A537E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:rsidR="00AA28BB" w:rsidRDefault="00095078" w:rsidP="00D36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45B0D">
              <w:rPr>
                <w:rFonts w:ascii="Arial" w:hAnsi="Arial" w:cs="Arial"/>
                <w:sz w:val="20"/>
                <w:szCs w:val="20"/>
              </w:rPr>
              <w:t xml:space="preserve">.     </w:t>
            </w:r>
            <w:r w:rsidR="005C7FF3">
              <w:rPr>
                <w:rFonts w:ascii="Arial" w:hAnsi="Arial" w:cs="Arial"/>
                <w:sz w:val="20"/>
                <w:szCs w:val="20"/>
              </w:rPr>
              <w:t>Exercises</w:t>
            </w:r>
            <w:r w:rsidR="00445B0D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6C140E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996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51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12A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4250C0">
              <w:rPr>
                <w:rFonts w:ascii="Arial" w:hAnsi="Arial" w:cs="Arial"/>
                <w:sz w:val="20"/>
                <w:szCs w:val="20"/>
              </w:rPr>
              <w:t xml:space="preserve">           1                  </w:t>
            </w:r>
            <w:r w:rsidR="00FB793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250C0">
              <w:rPr>
                <w:rFonts w:ascii="Arial" w:hAnsi="Arial" w:cs="Arial"/>
                <w:sz w:val="20"/>
                <w:szCs w:val="20"/>
              </w:rPr>
              <w:t>15h</w:t>
            </w:r>
          </w:p>
          <w:p w:rsidR="004112A2" w:rsidRDefault="00095078" w:rsidP="00D36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112A2">
              <w:rPr>
                <w:rFonts w:ascii="Arial" w:hAnsi="Arial" w:cs="Arial"/>
                <w:sz w:val="20"/>
                <w:szCs w:val="20"/>
              </w:rPr>
              <w:t>.     Contacts/ Consultations with lecturer</w:t>
            </w:r>
            <w:r w:rsidR="006C000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="00FB793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C00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540B">
              <w:rPr>
                <w:rFonts w:ascii="Arial" w:hAnsi="Arial" w:cs="Arial"/>
                <w:sz w:val="20"/>
                <w:szCs w:val="20"/>
              </w:rPr>
              <w:t>5</w:t>
            </w:r>
            <w:r w:rsidR="006C0003">
              <w:rPr>
                <w:rFonts w:ascii="Arial" w:hAnsi="Arial" w:cs="Arial"/>
                <w:sz w:val="20"/>
                <w:szCs w:val="20"/>
              </w:rPr>
              <w:t xml:space="preserve">h  </w:t>
            </w:r>
          </w:p>
          <w:p w:rsidR="00AA28BB" w:rsidRDefault="00095078" w:rsidP="00D36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E44EF">
              <w:rPr>
                <w:rFonts w:ascii="Arial" w:hAnsi="Arial" w:cs="Arial"/>
                <w:sz w:val="20"/>
                <w:szCs w:val="20"/>
              </w:rPr>
              <w:t>.     Inde</w:t>
            </w:r>
            <w:r w:rsidR="00AA28BB">
              <w:rPr>
                <w:rFonts w:ascii="Arial" w:hAnsi="Arial" w:cs="Arial"/>
                <w:sz w:val="20"/>
                <w:szCs w:val="20"/>
              </w:rPr>
              <w:t>pendent study/ work</w:t>
            </w:r>
            <w:r>
              <w:rPr>
                <w:rFonts w:ascii="Arial" w:hAnsi="Arial" w:cs="Arial"/>
                <w:sz w:val="20"/>
                <w:szCs w:val="20"/>
              </w:rPr>
              <w:t xml:space="preserve"> at home and library</w:t>
            </w:r>
            <w:r w:rsidR="004112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28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2D4D11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E429D1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FB793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429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0003">
              <w:rPr>
                <w:rFonts w:ascii="Arial" w:hAnsi="Arial" w:cs="Arial"/>
                <w:sz w:val="20"/>
                <w:szCs w:val="20"/>
              </w:rPr>
              <w:t>25h</w:t>
            </w:r>
          </w:p>
          <w:p w:rsidR="00095078" w:rsidRDefault="00AA28BB" w:rsidP="00D36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(collection of relevant materials, reading, preparation for</w:t>
            </w:r>
          </w:p>
          <w:p w:rsidR="00095078" w:rsidRDefault="00095078" w:rsidP="00D36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AA28BB">
              <w:rPr>
                <w:rFonts w:ascii="Arial" w:hAnsi="Arial" w:cs="Arial"/>
                <w:sz w:val="20"/>
                <w:szCs w:val="20"/>
              </w:rPr>
              <w:t xml:space="preserve"> colloquiums,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28BB">
              <w:rPr>
                <w:rFonts w:ascii="Arial" w:hAnsi="Arial" w:cs="Arial"/>
                <w:sz w:val="20"/>
                <w:szCs w:val="20"/>
              </w:rPr>
              <w:t>seminar papers</w:t>
            </w:r>
            <w:r w:rsidR="006C0003">
              <w:rPr>
                <w:rFonts w:ascii="Arial" w:hAnsi="Arial" w:cs="Arial"/>
                <w:sz w:val="20"/>
                <w:szCs w:val="20"/>
              </w:rPr>
              <w:t>,</w:t>
            </w:r>
            <w:r w:rsidR="00AA28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case studies, presentations, </w:t>
            </w:r>
          </w:p>
          <w:p w:rsidR="00095078" w:rsidRDefault="00095078" w:rsidP="00D36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home work, team work)                      </w:t>
            </w:r>
          </w:p>
          <w:p w:rsidR="00AC5B77" w:rsidRPr="006C140E" w:rsidRDefault="00095078" w:rsidP="00D36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3F056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Preparation for final </w:t>
            </w:r>
            <w:r w:rsidR="00AA28BB">
              <w:rPr>
                <w:rFonts w:ascii="Arial" w:hAnsi="Arial" w:cs="Arial"/>
                <w:sz w:val="20"/>
                <w:szCs w:val="20"/>
              </w:rPr>
              <w:t>wri</w:t>
            </w:r>
            <w:r w:rsidR="001E7CB3">
              <w:rPr>
                <w:rFonts w:ascii="Arial" w:hAnsi="Arial" w:cs="Arial"/>
                <w:sz w:val="20"/>
                <w:szCs w:val="20"/>
              </w:rPr>
              <w:t>t</w:t>
            </w:r>
            <w:r w:rsidR="00AA28BB">
              <w:rPr>
                <w:rFonts w:ascii="Arial" w:hAnsi="Arial" w:cs="Arial"/>
                <w:sz w:val="20"/>
                <w:szCs w:val="20"/>
              </w:rPr>
              <w:t>ten exam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923DA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2D4D1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FB793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540B">
              <w:rPr>
                <w:rFonts w:ascii="Arial" w:hAnsi="Arial" w:cs="Arial"/>
                <w:sz w:val="20"/>
                <w:szCs w:val="20"/>
              </w:rPr>
              <w:t>25h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A28B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C0003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6C0003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445B0D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C03882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625AB8" w:rsidRPr="007D3DB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E02C2" w:rsidRPr="007D3D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540B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4E7A97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</w:tc>
      </w:tr>
      <w:tr w:rsidR="00616207" w:rsidTr="00CF6310">
        <w:trPr>
          <w:trHeight w:val="105"/>
        </w:trPr>
        <w:tc>
          <w:tcPr>
            <w:tcW w:w="2520" w:type="dxa"/>
            <w:shd w:val="clear" w:color="auto" w:fill="8DB3E2" w:themeFill="text2" w:themeFillTint="66"/>
          </w:tcPr>
          <w:p w:rsidR="00616207" w:rsidRDefault="00DE400C" w:rsidP="00616207">
            <w:r>
              <w:rPr>
                <w:rFonts w:ascii="Arial" w:hAnsi="Arial" w:cs="Arial"/>
                <w:b/>
                <w:sz w:val="20"/>
                <w:szCs w:val="20"/>
              </w:rPr>
              <w:t>Literature / Referencies</w:t>
            </w:r>
          </w:p>
        </w:tc>
        <w:tc>
          <w:tcPr>
            <w:tcW w:w="7470" w:type="dxa"/>
          </w:tcPr>
          <w:p w:rsidR="00281EB5" w:rsidRDefault="00DE400C" w:rsidP="004200FB">
            <w:pPr>
              <w:spacing w:after="0" w:line="240" w:lineRule="auto"/>
              <w:rPr>
                <w:rStyle w:val="product-attr"/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Style w:val="product-attr"/>
                <w:rFonts w:ascii="Arial" w:eastAsia="Batang" w:hAnsi="Arial" w:cs="Arial"/>
                <w:b/>
                <w:sz w:val="20"/>
                <w:szCs w:val="20"/>
              </w:rPr>
              <w:t>Basic Literature</w:t>
            </w:r>
            <w:r w:rsidR="00281EB5" w:rsidRPr="00281EB5">
              <w:rPr>
                <w:rStyle w:val="product-attr"/>
                <w:rFonts w:ascii="Arial" w:eastAsia="Batang" w:hAnsi="Arial" w:cs="Arial"/>
                <w:b/>
                <w:sz w:val="20"/>
                <w:szCs w:val="20"/>
              </w:rPr>
              <w:t>:</w:t>
            </w:r>
          </w:p>
          <w:p w:rsidR="0049506B" w:rsidRDefault="0049506B" w:rsidP="00376D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Style w:val="product-attr"/>
                <w:rFonts w:ascii="Arial" w:eastAsia="Batang" w:hAnsi="Arial" w:cs="Arial"/>
                <w:sz w:val="20"/>
                <w:szCs w:val="20"/>
              </w:rPr>
            </w:pPr>
            <w:r w:rsidRPr="00AB69E4">
              <w:rPr>
                <w:rStyle w:val="product-attr"/>
                <w:rFonts w:ascii="Arial" w:eastAsia="Batang" w:hAnsi="Arial" w:cs="Arial"/>
                <w:sz w:val="20"/>
                <w:szCs w:val="20"/>
              </w:rPr>
              <w:t xml:space="preserve">Schütze, Robert, </w:t>
            </w:r>
            <w:r w:rsidRPr="00AB69E4">
              <w:rPr>
                <w:rStyle w:val="product-attr"/>
                <w:rFonts w:ascii="Arial" w:eastAsia="Batang" w:hAnsi="Arial" w:cs="Arial"/>
                <w:i/>
                <w:sz w:val="20"/>
                <w:szCs w:val="20"/>
              </w:rPr>
              <w:t>“European Union Law”</w:t>
            </w:r>
            <w:r w:rsidRPr="00AB69E4">
              <w:rPr>
                <w:rStyle w:val="product-attr"/>
                <w:rFonts w:ascii="Arial" w:eastAsia="Batang" w:hAnsi="Arial" w:cs="Arial"/>
                <w:sz w:val="20"/>
                <w:szCs w:val="20"/>
              </w:rPr>
              <w:t>, third Edition, Oxford University Press, 2021.</w:t>
            </w:r>
          </w:p>
          <w:p w:rsidR="00133D11" w:rsidRDefault="00133D11" w:rsidP="00376D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Style w:val="product-attr"/>
                <w:rFonts w:ascii="Arial" w:eastAsia="Batang" w:hAnsi="Arial" w:cs="Arial"/>
                <w:sz w:val="20"/>
                <w:szCs w:val="20"/>
              </w:rPr>
            </w:pPr>
            <w:r w:rsidRPr="00AB69E4">
              <w:rPr>
                <w:rStyle w:val="product-attr"/>
                <w:rFonts w:ascii="Arial" w:eastAsia="Batang" w:hAnsi="Arial" w:cs="Arial"/>
                <w:sz w:val="20"/>
                <w:szCs w:val="20"/>
              </w:rPr>
              <w:t>Bernard, Chaterine</w:t>
            </w:r>
            <w:r>
              <w:rPr>
                <w:rStyle w:val="product-attr"/>
                <w:rFonts w:ascii="Arial" w:eastAsia="Batang" w:hAnsi="Arial" w:cs="Arial"/>
                <w:sz w:val="20"/>
                <w:szCs w:val="20"/>
              </w:rPr>
              <w:t xml:space="preserve">, </w:t>
            </w:r>
            <w:r w:rsidRPr="00133D11">
              <w:rPr>
                <w:rStyle w:val="product-attr"/>
                <w:rFonts w:ascii="Arial" w:eastAsia="Batang" w:hAnsi="Arial" w:cs="Arial"/>
                <w:i/>
                <w:sz w:val="20"/>
                <w:szCs w:val="20"/>
              </w:rPr>
              <w:t>“The Substantive Law of the EU: The Four Freedoms”</w:t>
            </w:r>
            <w:r>
              <w:rPr>
                <w:rStyle w:val="product-attr"/>
                <w:rFonts w:ascii="Arial" w:eastAsia="Batang" w:hAnsi="Arial" w:cs="Arial"/>
                <w:sz w:val="20"/>
                <w:szCs w:val="20"/>
              </w:rPr>
              <w:t xml:space="preserve">, seventh Edition, </w:t>
            </w:r>
            <w:r w:rsidRPr="00AB69E4">
              <w:rPr>
                <w:rStyle w:val="product-attr"/>
                <w:rFonts w:ascii="Arial" w:eastAsia="Batang" w:hAnsi="Arial" w:cs="Arial"/>
                <w:sz w:val="20"/>
                <w:szCs w:val="20"/>
              </w:rPr>
              <w:t>Oxford University Press,</w:t>
            </w:r>
            <w:r>
              <w:rPr>
                <w:rStyle w:val="product-attr"/>
                <w:rFonts w:ascii="Arial" w:eastAsia="Batang" w:hAnsi="Arial" w:cs="Arial"/>
                <w:sz w:val="20"/>
                <w:szCs w:val="20"/>
              </w:rPr>
              <w:t xml:space="preserve"> 2022. </w:t>
            </w:r>
          </w:p>
          <w:p w:rsidR="000E032F" w:rsidRPr="000E032F" w:rsidRDefault="000E032F" w:rsidP="000E032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Style w:val="product-attr"/>
                <w:rFonts w:ascii="Arial" w:eastAsia="Batang" w:hAnsi="Arial" w:cs="Arial"/>
                <w:sz w:val="20"/>
                <w:szCs w:val="20"/>
              </w:rPr>
            </w:pPr>
            <w:r w:rsidRPr="005A6C09">
              <w:rPr>
                <w:rStyle w:val="product-attr"/>
                <w:rFonts w:ascii="Arial" w:eastAsia="Batang" w:hAnsi="Arial" w:cs="Arial"/>
                <w:sz w:val="20"/>
                <w:szCs w:val="20"/>
              </w:rPr>
              <w:t>Velyvyte</w:t>
            </w:r>
            <w:r>
              <w:rPr>
                <w:rStyle w:val="product-attr"/>
                <w:rFonts w:ascii="Arial" w:eastAsia="Batang" w:hAnsi="Arial" w:cs="Arial"/>
                <w:sz w:val="20"/>
                <w:szCs w:val="20"/>
              </w:rPr>
              <w:t xml:space="preserve">, </w:t>
            </w:r>
            <w:r w:rsidRPr="005A6C09">
              <w:rPr>
                <w:rStyle w:val="product-attr"/>
                <w:rFonts w:ascii="Arial" w:eastAsia="Batang" w:hAnsi="Arial" w:cs="Arial"/>
                <w:sz w:val="20"/>
                <w:szCs w:val="20"/>
              </w:rPr>
              <w:t>Vilija</w:t>
            </w:r>
            <w:r>
              <w:rPr>
                <w:rStyle w:val="product-attr"/>
                <w:rFonts w:ascii="Arial" w:eastAsia="Batang" w:hAnsi="Arial" w:cs="Arial"/>
                <w:sz w:val="20"/>
                <w:szCs w:val="20"/>
              </w:rPr>
              <w:t>,</w:t>
            </w:r>
            <w:r w:rsidRPr="005A6C09">
              <w:rPr>
                <w:rStyle w:val="product-attr"/>
                <w:rFonts w:ascii="Arial" w:eastAsia="Batang" w:hAnsi="Arial" w:cs="Arial"/>
                <w:sz w:val="20"/>
                <w:szCs w:val="20"/>
              </w:rPr>
              <w:t xml:space="preserve"> </w:t>
            </w:r>
            <w:r>
              <w:rPr>
                <w:rStyle w:val="product-attr"/>
                <w:rFonts w:ascii="Arial" w:eastAsia="Batang" w:hAnsi="Arial" w:cs="Arial"/>
                <w:sz w:val="20"/>
                <w:szCs w:val="20"/>
              </w:rPr>
              <w:t>“</w:t>
            </w:r>
            <w:r w:rsidRPr="005A6C09">
              <w:rPr>
                <w:rStyle w:val="product-attr"/>
                <w:rFonts w:ascii="Arial" w:eastAsia="Batang" w:hAnsi="Arial" w:cs="Arial"/>
                <w:i/>
                <w:sz w:val="20"/>
                <w:szCs w:val="20"/>
              </w:rPr>
              <w:t>Judicial Authority in EU Internal Market Law: Implications for the Balance of Competences and Powers”</w:t>
            </w:r>
            <w:r>
              <w:rPr>
                <w:rStyle w:val="product-attr"/>
                <w:rFonts w:ascii="Arial" w:eastAsia="Batang" w:hAnsi="Arial" w:cs="Arial"/>
                <w:sz w:val="20"/>
                <w:szCs w:val="20"/>
              </w:rPr>
              <w:t xml:space="preserve">, </w:t>
            </w:r>
            <w:r w:rsidRPr="005A6C09">
              <w:rPr>
                <w:rStyle w:val="product-attr"/>
                <w:rFonts w:ascii="Arial" w:eastAsia="Batang" w:hAnsi="Arial" w:cs="Arial"/>
                <w:sz w:val="20"/>
                <w:szCs w:val="20"/>
              </w:rPr>
              <w:t>Bloomsbury Academic</w:t>
            </w:r>
            <w:r>
              <w:rPr>
                <w:rStyle w:val="product-attr"/>
                <w:rFonts w:ascii="Arial" w:eastAsia="Batang" w:hAnsi="Arial" w:cs="Arial"/>
                <w:sz w:val="20"/>
                <w:szCs w:val="20"/>
              </w:rPr>
              <w:t>,</w:t>
            </w:r>
            <w:r w:rsidRPr="005A6C09">
              <w:rPr>
                <w:rStyle w:val="product-attr"/>
                <w:rFonts w:ascii="Arial" w:eastAsia="Batang" w:hAnsi="Arial" w:cs="Arial"/>
                <w:sz w:val="20"/>
                <w:szCs w:val="20"/>
              </w:rPr>
              <w:t xml:space="preserve"> </w:t>
            </w:r>
            <w:r>
              <w:rPr>
                <w:rStyle w:val="product-attr"/>
                <w:rFonts w:ascii="Arial" w:eastAsia="Batang" w:hAnsi="Arial" w:cs="Arial"/>
                <w:sz w:val="20"/>
                <w:szCs w:val="20"/>
              </w:rPr>
              <w:t>2022.</w:t>
            </w:r>
          </w:p>
          <w:p w:rsidR="0049506B" w:rsidRDefault="00AB69E4" w:rsidP="00376D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Style w:val="product-attr"/>
                <w:rFonts w:ascii="Arial" w:eastAsia="Batang" w:hAnsi="Arial" w:cs="Arial"/>
                <w:sz w:val="20"/>
                <w:szCs w:val="20"/>
              </w:rPr>
            </w:pPr>
            <w:r w:rsidRPr="00AB69E4">
              <w:rPr>
                <w:rStyle w:val="product-attr"/>
                <w:rFonts w:ascii="Arial" w:eastAsia="Batang" w:hAnsi="Arial" w:cs="Arial"/>
                <w:sz w:val="20"/>
                <w:szCs w:val="20"/>
              </w:rPr>
              <w:t xml:space="preserve">Bernard, Chaterine, Peers, Steve, </w:t>
            </w:r>
            <w:r w:rsidRPr="00AB69E4">
              <w:rPr>
                <w:rStyle w:val="product-attr"/>
                <w:rFonts w:ascii="Arial" w:eastAsia="Batang" w:hAnsi="Arial" w:cs="Arial"/>
                <w:i/>
                <w:sz w:val="20"/>
                <w:szCs w:val="20"/>
              </w:rPr>
              <w:t>“European Union Law</w:t>
            </w:r>
            <w:r>
              <w:rPr>
                <w:rStyle w:val="product-attr"/>
                <w:rFonts w:ascii="Arial" w:eastAsia="Batang" w:hAnsi="Arial" w:cs="Arial"/>
                <w:i/>
                <w:sz w:val="20"/>
                <w:szCs w:val="20"/>
              </w:rPr>
              <w:t>”</w:t>
            </w:r>
            <w:r w:rsidRPr="00AB69E4">
              <w:rPr>
                <w:rStyle w:val="product-attr"/>
                <w:rFonts w:ascii="Arial" w:eastAsia="Batang" w:hAnsi="Arial" w:cs="Arial"/>
                <w:sz w:val="20"/>
                <w:szCs w:val="20"/>
              </w:rPr>
              <w:t xml:space="preserve">, second Edition, Oxford University Press, 2017. </w:t>
            </w:r>
          </w:p>
          <w:p w:rsidR="000E032F" w:rsidRPr="000E032F" w:rsidRDefault="000E032F" w:rsidP="000E032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Style w:val="product-attr"/>
                <w:rFonts w:ascii="Arial" w:eastAsia="Batang" w:hAnsi="Arial" w:cs="Arial"/>
                <w:sz w:val="20"/>
                <w:szCs w:val="20"/>
              </w:rPr>
            </w:pPr>
            <w:r w:rsidRPr="00EA641B">
              <w:rPr>
                <w:rStyle w:val="product-attr"/>
                <w:rFonts w:ascii="Arial" w:eastAsia="Batang" w:hAnsi="Arial" w:cs="Arial"/>
                <w:sz w:val="20"/>
                <w:szCs w:val="20"/>
              </w:rPr>
              <w:t>Ziller</w:t>
            </w:r>
            <w:r>
              <w:rPr>
                <w:rStyle w:val="product-attr"/>
                <w:rFonts w:ascii="Arial" w:eastAsia="Batang" w:hAnsi="Arial" w:cs="Arial"/>
                <w:sz w:val="20"/>
                <w:szCs w:val="20"/>
              </w:rPr>
              <w:t>,</w:t>
            </w:r>
            <w:r w:rsidRPr="00EA641B">
              <w:rPr>
                <w:rStyle w:val="product-attr"/>
                <w:rFonts w:ascii="Arial" w:eastAsia="Batang" w:hAnsi="Arial" w:cs="Arial"/>
                <w:sz w:val="20"/>
                <w:szCs w:val="20"/>
              </w:rPr>
              <w:t xml:space="preserve"> Jacques </w:t>
            </w:r>
            <w:r>
              <w:rPr>
                <w:rStyle w:val="product-attr"/>
                <w:rFonts w:ascii="Arial" w:eastAsia="Batang" w:hAnsi="Arial" w:cs="Arial"/>
                <w:sz w:val="20"/>
                <w:szCs w:val="20"/>
              </w:rPr>
              <w:t>“</w:t>
            </w:r>
            <w:r w:rsidRPr="00EA641B">
              <w:rPr>
                <w:rStyle w:val="product-attr"/>
                <w:rFonts w:ascii="Arial" w:eastAsia="Batang" w:hAnsi="Arial" w:cs="Arial"/>
                <w:i/>
                <w:sz w:val="20"/>
                <w:szCs w:val="20"/>
              </w:rPr>
              <w:t>Advanced Introduction to European Union Law”</w:t>
            </w:r>
            <w:r>
              <w:rPr>
                <w:rStyle w:val="product-attr"/>
                <w:rFonts w:ascii="Arial" w:eastAsia="Batang" w:hAnsi="Arial" w:cs="Arial"/>
                <w:sz w:val="20"/>
                <w:szCs w:val="20"/>
              </w:rPr>
              <w:t xml:space="preserve">, Elgar, </w:t>
            </w:r>
            <w:r>
              <w:rPr>
                <w:rStyle w:val="product-attr"/>
                <w:rFonts w:ascii="Arial" w:eastAsia="Batang" w:hAnsi="Arial" w:cs="Arial"/>
                <w:sz w:val="20"/>
                <w:szCs w:val="20"/>
              </w:rPr>
              <w:lastRenderedPageBreak/>
              <w:t>2020.</w:t>
            </w:r>
            <w:r w:rsidRPr="00AB69E4">
              <w:rPr>
                <w:rStyle w:val="product-attr"/>
                <w:rFonts w:ascii="Arial" w:eastAsia="Batang" w:hAnsi="Arial" w:cs="Arial"/>
                <w:sz w:val="20"/>
                <w:szCs w:val="20"/>
              </w:rPr>
              <w:t xml:space="preserve"> </w:t>
            </w:r>
          </w:p>
          <w:p w:rsidR="004E7E60" w:rsidRDefault="004E7E60" w:rsidP="00376D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Style w:val="product-attr"/>
                <w:rFonts w:ascii="Arial" w:eastAsia="Batang" w:hAnsi="Arial" w:cs="Arial"/>
                <w:sz w:val="20"/>
                <w:szCs w:val="20"/>
              </w:rPr>
            </w:pPr>
            <w:r w:rsidRPr="00AB69E4">
              <w:rPr>
                <w:rStyle w:val="product-attr"/>
                <w:rFonts w:ascii="Arial" w:eastAsia="Batang" w:hAnsi="Arial" w:cs="Arial"/>
                <w:sz w:val="20"/>
                <w:szCs w:val="20"/>
              </w:rPr>
              <w:t>Schütze, Robert,</w:t>
            </w:r>
            <w:r>
              <w:rPr>
                <w:rStyle w:val="product-attr"/>
                <w:rFonts w:ascii="Arial" w:eastAsia="Batang" w:hAnsi="Arial" w:cs="Arial"/>
                <w:sz w:val="20"/>
                <w:szCs w:val="20"/>
              </w:rPr>
              <w:t xml:space="preserve"> Tridimas, Takis, </w:t>
            </w:r>
            <w:r w:rsidRPr="004E7E60">
              <w:rPr>
                <w:rStyle w:val="product-attr"/>
                <w:rFonts w:ascii="Arial" w:eastAsia="Batang" w:hAnsi="Arial" w:cs="Arial"/>
                <w:i/>
                <w:sz w:val="20"/>
                <w:szCs w:val="20"/>
              </w:rPr>
              <w:t>“Oxford Principles of European Union Law: The European Union Legal Order”</w:t>
            </w:r>
            <w:r>
              <w:rPr>
                <w:rStyle w:val="product-attr"/>
                <w:rFonts w:ascii="Arial" w:eastAsia="Batang" w:hAnsi="Arial" w:cs="Arial"/>
                <w:sz w:val="20"/>
                <w:szCs w:val="20"/>
              </w:rPr>
              <w:t xml:space="preserve">, Vol.1, </w:t>
            </w:r>
            <w:r w:rsidRPr="00AB69E4">
              <w:rPr>
                <w:rStyle w:val="product-attr"/>
                <w:rFonts w:ascii="Arial" w:eastAsia="Batang" w:hAnsi="Arial" w:cs="Arial"/>
                <w:sz w:val="20"/>
                <w:szCs w:val="20"/>
              </w:rPr>
              <w:t>Oxford University Press</w:t>
            </w:r>
            <w:r>
              <w:rPr>
                <w:rStyle w:val="product-attr"/>
                <w:rFonts w:ascii="Arial" w:eastAsia="Batang" w:hAnsi="Arial" w:cs="Arial"/>
                <w:sz w:val="20"/>
                <w:szCs w:val="20"/>
              </w:rPr>
              <w:t xml:space="preserve">, 2018. </w:t>
            </w:r>
          </w:p>
          <w:p w:rsidR="00376DAB" w:rsidRPr="00376DAB" w:rsidRDefault="00376DAB" w:rsidP="00376D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Tota, Elton, </w:t>
            </w:r>
            <w:r w:rsidRPr="007A2F7F">
              <w:rPr>
                <w:rFonts w:ascii="Arial" w:eastAsia="Batang" w:hAnsi="Arial" w:cs="Arial"/>
                <w:i/>
                <w:sz w:val="20"/>
                <w:szCs w:val="20"/>
              </w:rPr>
              <w:t>“EU Enlargement and Its Impact to the Western Balkans”</w:t>
            </w:r>
            <w:r w:rsidRPr="007A2F7F">
              <w:rPr>
                <w:rFonts w:ascii="Arial" w:eastAsia="Batang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Batang" w:hAnsi="Arial" w:cs="Arial"/>
                <w:sz w:val="20"/>
                <w:szCs w:val="20"/>
              </w:rPr>
              <w:t>Logos Verlag Berlin, ISBN-13: 978-3832549640, 2019.</w:t>
            </w:r>
          </w:p>
          <w:p w:rsidR="00CB7E44" w:rsidRDefault="007A2F7F" w:rsidP="00376D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Tota, Elton, </w:t>
            </w:r>
            <w:r w:rsidRPr="007A2F7F">
              <w:rPr>
                <w:rFonts w:ascii="Arial" w:eastAsia="Batang" w:hAnsi="Arial" w:cs="Arial"/>
                <w:i/>
                <w:sz w:val="20"/>
                <w:szCs w:val="20"/>
              </w:rPr>
              <w:t>“Refocusing the European Union attention on the Western Balkans: the impact of the Berlin Process”</w:t>
            </w:r>
            <w:r w:rsidRPr="007A2F7F">
              <w:rPr>
                <w:rFonts w:ascii="Arial" w:eastAsia="Batang" w:hAnsi="Arial" w:cs="Arial"/>
                <w:sz w:val="20"/>
                <w:szCs w:val="20"/>
              </w:rPr>
              <w:t>, Journal of Liberty and Internationa</w:t>
            </w:r>
            <w:r>
              <w:rPr>
                <w:rFonts w:ascii="Arial" w:eastAsia="Batang" w:hAnsi="Arial" w:cs="Arial"/>
                <w:sz w:val="20"/>
                <w:szCs w:val="20"/>
              </w:rPr>
              <w:t>l Affairs | Vol. 6, No. 2, 2020.</w:t>
            </w:r>
            <w:r w:rsidRPr="007A2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</w:p>
          <w:p w:rsidR="004F75EE" w:rsidRPr="004F75EE" w:rsidRDefault="004F75EE" w:rsidP="00376D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4F75EE">
              <w:rPr>
                <w:rFonts w:ascii="Arial" w:hAnsi="Arial" w:cs="Arial"/>
                <w:sz w:val="20"/>
                <w:szCs w:val="20"/>
                <w:lang w:val="en-US"/>
              </w:rPr>
              <w:t>Cuthbert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4F75EE">
              <w:rPr>
                <w:rFonts w:ascii="Arial" w:hAnsi="Arial" w:cs="Arial"/>
                <w:sz w:val="20"/>
                <w:szCs w:val="20"/>
                <w:lang w:val="en-US"/>
              </w:rPr>
              <w:t xml:space="preserve">Mike: </w:t>
            </w:r>
            <w:r w:rsidRPr="004F75EE">
              <w:rPr>
                <w:rFonts w:ascii="Arial" w:hAnsi="Arial" w:cs="Arial"/>
                <w:i/>
                <w:sz w:val="20"/>
                <w:szCs w:val="20"/>
                <w:lang w:val="en-US"/>
              </w:rPr>
              <w:t>“European Union Law”</w:t>
            </w:r>
            <w:r w:rsidRPr="004F75EE">
              <w:rPr>
                <w:rFonts w:ascii="Arial" w:hAnsi="Arial" w:cs="Arial"/>
                <w:sz w:val="20"/>
                <w:szCs w:val="20"/>
                <w:lang w:val="en-US"/>
              </w:rPr>
              <w:t>, 8th Edition, London, 2015.</w:t>
            </w:r>
          </w:p>
          <w:p w:rsidR="00CB7E44" w:rsidRPr="001C58B9" w:rsidRDefault="001C58B9" w:rsidP="00376D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70D9F">
              <w:rPr>
                <w:rStyle w:val="product-attr"/>
                <w:rFonts w:ascii="Arial" w:eastAsia="Batang" w:hAnsi="Arial" w:cs="Arial"/>
                <w:sz w:val="20"/>
                <w:szCs w:val="20"/>
              </w:rPr>
              <w:t xml:space="preserve">Giubboni, Stefano, </w:t>
            </w:r>
            <w:r w:rsidRPr="00691A21">
              <w:rPr>
                <w:rStyle w:val="product-attr"/>
                <w:rFonts w:ascii="Arial" w:eastAsia="Batang" w:hAnsi="Arial" w:cs="Arial"/>
                <w:i/>
                <w:sz w:val="20"/>
                <w:szCs w:val="20"/>
              </w:rPr>
              <w:t>“Free Movement of Persons and European Solidarity”</w:t>
            </w:r>
            <w:r w:rsidRPr="00270D9F">
              <w:rPr>
                <w:rStyle w:val="product-attr"/>
                <w:rFonts w:ascii="Arial" w:eastAsia="Batang" w:hAnsi="Arial" w:cs="Arial"/>
                <w:sz w:val="20"/>
                <w:szCs w:val="20"/>
              </w:rPr>
              <w:t xml:space="preserve">, Perspectives on Federalism, ISSN: 2036-5438, 2015. </w:t>
            </w:r>
          </w:p>
          <w:p w:rsidR="00CB7E44" w:rsidRPr="00270D9F" w:rsidRDefault="00CB7E44" w:rsidP="00376D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Style w:val="product-attr"/>
                <w:rFonts w:ascii="Arial" w:eastAsia="Batang" w:hAnsi="Arial" w:cs="Arial"/>
                <w:sz w:val="20"/>
                <w:szCs w:val="20"/>
              </w:rPr>
            </w:pPr>
            <w:r w:rsidRPr="00270D9F">
              <w:rPr>
                <w:rStyle w:val="product-attr"/>
                <w:rFonts w:ascii="Arial" w:eastAsia="Batang" w:hAnsi="Arial" w:cs="Arial"/>
                <w:sz w:val="20"/>
                <w:szCs w:val="20"/>
              </w:rPr>
              <w:t xml:space="preserve">Canaj, Erjona, </w:t>
            </w:r>
            <w:r w:rsidR="007C181B">
              <w:rPr>
                <w:rStyle w:val="product-attr"/>
                <w:rFonts w:ascii="Arial" w:eastAsia="Batang" w:hAnsi="Arial" w:cs="Arial"/>
                <w:i/>
                <w:sz w:val="20"/>
                <w:szCs w:val="20"/>
              </w:rPr>
              <w:t>“Lëvizja e Lirë e Personave në</w:t>
            </w:r>
            <w:r w:rsidRPr="00691A21">
              <w:rPr>
                <w:rStyle w:val="product-attr"/>
                <w:rFonts w:ascii="Arial" w:eastAsia="Batang" w:hAnsi="Arial" w:cs="Arial"/>
                <w:i/>
                <w:sz w:val="20"/>
                <w:szCs w:val="20"/>
              </w:rPr>
              <w:t xml:space="preserve"> Bashkimin Evropian”</w:t>
            </w:r>
            <w:r w:rsidRPr="00270D9F">
              <w:rPr>
                <w:rStyle w:val="product-attr"/>
                <w:rFonts w:ascii="Arial" w:eastAsia="Batang" w:hAnsi="Arial" w:cs="Arial"/>
                <w:sz w:val="20"/>
                <w:szCs w:val="20"/>
              </w:rPr>
              <w:t xml:space="preserve">, UET Press, 2014. </w:t>
            </w:r>
          </w:p>
          <w:p w:rsidR="00CB7E44" w:rsidRPr="00270D9F" w:rsidRDefault="00CB7E44" w:rsidP="00376D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Style w:val="product-attr"/>
                <w:rFonts w:ascii="Arial" w:eastAsia="Batang" w:hAnsi="Arial" w:cs="Arial"/>
                <w:sz w:val="20"/>
                <w:szCs w:val="20"/>
              </w:rPr>
            </w:pPr>
            <w:r w:rsidRPr="00270D9F">
              <w:rPr>
                <w:rStyle w:val="product-attr"/>
                <w:rFonts w:ascii="Arial" w:eastAsia="Batang" w:hAnsi="Arial" w:cs="Arial"/>
                <w:sz w:val="20"/>
                <w:szCs w:val="20"/>
              </w:rPr>
              <w:t>Canaj</w:t>
            </w:r>
            <w:r>
              <w:rPr>
                <w:rStyle w:val="product-attr"/>
                <w:rFonts w:ascii="Arial" w:eastAsia="Batang" w:hAnsi="Arial" w:cs="Arial"/>
                <w:sz w:val="20"/>
                <w:szCs w:val="20"/>
              </w:rPr>
              <w:t>,</w:t>
            </w:r>
            <w:r w:rsidRPr="00270D9F">
              <w:rPr>
                <w:rStyle w:val="product-attr"/>
                <w:rFonts w:ascii="Arial" w:eastAsia="Batang" w:hAnsi="Arial" w:cs="Arial"/>
                <w:sz w:val="20"/>
                <w:szCs w:val="20"/>
              </w:rPr>
              <w:t xml:space="preserve"> Erjona, Bana, Sokol, </w:t>
            </w:r>
            <w:r w:rsidRPr="00691A21">
              <w:rPr>
                <w:rStyle w:val="product-attr"/>
                <w:rFonts w:ascii="Arial" w:eastAsia="Batang" w:hAnsi="Arial" w:cs="Arial"/>
                <w:i/>
                <w:sz w:val="20"/>
                <w:szCs w:val="20"/>
              </w:rPr>
              <w:t>“E Drejta e Bashkimit Evropian”</w:t>
            </w:r>
            <w:r w:rsidRPr="00270D9F">
              <w:rPr>
                <w:rStyle w:val="product-attr"/>
                <w:rFonts w:ascii="Arial" w:eastAsia="Batang" w:hAnsi="Arial" w:cs="Arial"/>
                <w:sz w:val="20"/>
                <w:szCs w:val="20"/>
              </w:rPr>
              <w:t>, 2010.</w:t>
            </w:r>
          </w:p>
          <w:p w:rsidR="00CB7E44" w:rsidRPr="00270D9F" w:rsidRDefault="00CB7E44" w:rsidP="00376D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Style w:val="product-attr"/>
                <w:rFonts w:ascii="Arial" w:eastAsia="Batang" w:hAnsi="Arial" w:cs="Arial"/>
                <w:sz w:val="20"/>
                <w:szCs w:val="20"/>
              </w:rPr>
            </w:pPr>
            <w:r w:rsidRPr="00270D9F">
              <w:rPr>
                <w:rStyle w:val="product-attr"/>
                <w:rFonts w:ascii="Arial" w:eastAsia="Batang" w:hAnsi="Arial" w:cs="Arial"/>
                <w:sz w:val="20"/>
                <w:szCs w:val="20"/>
              </w:rPr>
              <w:t xml:space="preserve">Davies, Karen, </w:t>
            </w:r>
            <w:r w:rsidRPr="00691A21">
              <w:rPr>
                <w:rStyle w:val="product-attr"/>
                <w:rFonts w:ascii="Arial" w:eastAsia="Batang" w:hAnsi="Arial" w:cs="Arial"/>
                <w:i/>
                <w:sz w:val="20"/>
                <w:szCs w:val="20"/>
              </w:rPr>
              <w:t>“Understanding European Union Law”</w:t>
            </w:r>
            <w:r w:rsidR="001076FB">
              <w:rPr>
                <w:rStyle w:val="product-attr"/>
                <w:rFonts w:ascii="Arial" w:eastAsia="Batang" w:hAnsi="Arial" w:cs="Arial"/>
                <w:sz w:val="20"/>
                <w:szCs w:val="20"/>
              </w:rPr>
              <w:t>,</w:t>
            </w:r>
            <w:r w:rsidR="001C58B9">
              <w:rPr>
                <w:rStyle w:val="product-attr"/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="001076FB">
              <w:rPr>
                <w:rStyle w:val="product-attr"/>
                <w:rFonts w:ascii="Arial" w:eastAsia="Batang" w:hAnsi="Arial" w:cs="Arial"/>
                <w:sz w:val="20"/>
                <w:szCs w:val="20"/>
              </w:rPr>
              <w:t>Routledge, 2016</w:t>
            </w:r>
            <w:r w:rsidRPr="00270D9F">
              <w:rPr>
                <w:rStyle w:val="product-attr"/>
                <w:rFonts w:ascii="Arial" w:eastAsia="Batang" w:hAnsi="Arial" w:cs="Arial"/>
                <w:sz w:val="20"/>
                <w:szCs w:val="20"/>
              </w:rPr>
              <w:t>.</w:t>
            </w:r>
          </w:p>
          <w:p w:rsidR="00CB7E44" w:rsidRPr="00270D9F" w:rsidRDefault="00CB7E44" w:rsidP="00376D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Style w:val="product-attr"/>
                <w:rFonts w:ascii="Arial" w:eastAsia="Batang" w:hAnsi="Arial" w:cs="Arial"/>
                <w:sz w:val="20"/>
                <w:szCs w:val="20"/>
              </w:rPr>
            </w:pPr>
            <w:r w:rsidRPr="00270D9F">
              <w:rPr>
                <w:rStyle w:val="product-attr"/>
                <w:rFonts w:ascii="Arial" w:eastAsia="Batang" w:hAnsi="Arial" w:cs="Arial"/>
                <w:sz w:val="20"/>
                <w:szCs w:val="20"/>
              </w:rPr>
              <w:t xml:space="preserve">Foster, Nigel, </w:t>
            </w:r>
            <w:r w:rsidRPr="00691A21">
              <w:rPr>
                <w:rStyle w:val="product-attr"/>
                <w:rFonts w:ascii="Arial" w:eastAsia="Batang" w:hAnsi="Arial" w:cs="Arial"/>
                <w:i/>
                <w:sz w:val="20"/>
                <w:szCs w:val="20"/>
              </w:rPr>
              <w:t>“EU Law”</w:t>
            </w:r>
            <w:r w:rsidRPr="00270D9F">
              <w:rPr>
                <w:rStyle w:val="product-attr"/>
                <w:rFonts w:ascii="Arial" w:eastAsia="Batang" w:hAnsi="Arial" w:cs="Arial"/>
                <w:sz w:val="20"/>
                <w:szCs w:val="20"/>
              </w:rPr>
              <w:t>, Oxford University Press, 2007.</w:t>
            </w:r>
          </w:p>
          <w:p w:rsidR="00CB7E44" w:rsidRPr="00270D9F" w:rsidRDefault="00CB7E44" w:rsidP="00376D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Style w:val="product-attr"/>
                <w:rFonts w:ascii="Arial" w:eastAsia="Batang" w:hAnsi="Arial" w:cs="Arial"/>
                <w:sz w:val="20"/>
                <w:szCs w:val="20"/>
              </w:rPr>
            </w:pPr>
            <w:r w:rsidRPr="00270D9F">
              <w:rPr>
                <w:rStyle w:val="product-attr"/>
                <w:rFonts w:ascii="Arial" w:eastAsia="Batang" w:hAnsi="Arial" w:cs="Arial"/>
                <w:sz w:val="20"/>
                <w:szCs w:val="20"/>
              </w:rPr>
              <w:t xml:space="preserve">Lazowski, Adam, Bushati Gugu, Aida, </w:t>
            </w:r>
            <w:r w:rsidRPr="00691A21">
              <w:rPr>
                <w:rStyle w:val="product-attr"/>
                <w:rFonts w:ascii="Arial" w:eastAsia="Batang" w:hAnsi="Arial" w:cs="Arial"/>
                <w:i/>
                <w:sz w:val="20"/>
                <w:szCs w:val="20"/>
              </w:rPr>
              <w:t xml:space="preserve">“Bazat e </w:t>
            </w:r>
            <w:r w:rsidR="007C181B">
              <w:rPr>
                <w:rStyle w:val="product-attr"/>
                <w:rFonts w:ascii="Arial" w:eastAsia="Batang" w:hAnsi="Arial" w:cs="Arial"/>
                <w:i/>
                <w:sz w:val="20"/>
                <w:szCs w:val="20"/>
              </w:rPr>
              <w:t>së Drejtë</w:t>
            </w:r>
            <w:r w:rsidRPr="00691A21">
              <w:rPr>
                <w:rStyle w:val="product-attr"/>
                <w:rFonts w:ascii="Arial" w:eastAsia="Batang" w:hAnsi="Arial" w:cs="Arial"/>
                <w:i/>
                <w:sz w:val="20"/>
                <w:szCs w:val="20"/>
              </w:rPr>
              <w:t>s Evropiane, Me p</w:t>
            </w:r>
            <w:r w:rsidR="007C181B">
              <w:rPr>
                <w:rStyle w:val="product-attr"/>
                <w:rFonts w:ascii="Arial" w:eastAsia="Batang" w:hAnsi="Arial" w:cs="Arial"/>
                <w:i/>
                <w:sz w:val="20"/>
                <w:szCs w:val="20"/>
              </w:rPr>
              <w:t>ë</w:t>
            </w:r>
            <w:r w:rsidRPr="00691A21">
              <w:rPr>
                <w:rStyle w:val="product-attr"/>
                <w:rFonts w:ascii="Arial" w:eastAsia="Batang" w:hAnsi="Arial" w:cs="Arial"/>
                <w:i/>
                <w:sz w:val="20"/>
                <w:szCs w:val="20"/>
              </w:rPr>
              <w:t>rmbledhje vendimesh nga Gjykata e Drejt</w:t>
            </w:r>
            <w:r w:rsidR="007C181B">
              <w:rPr>
                <w:rStyle w:val="product-attr"/>
                <w:rFonts w:ascii="Arial" w:eastAsia="Batang" w:hAnsi="Arial" w:cs="Arial"/>
                <w:i/>
                <w:sz w:val="20"/>
                <w:szCs w:val="20"/>
              </w:rPr>
              <w:t>ë</w:t>
            </w:r>
            <w:r w:rsidRPr="00691A21">
              <w:rPr>
                <w:rStyle w:val="product-attr"/>
                <w:rFonts w:ascii="Arial" w:eastAsia="Batang" w:hAnsi="Arial" w:cs="Arial"/>
                <w:i/>
                <w:sz w:val="20"/>
                <w:szCs w:val="20"/>
              </w:rPr>
              <w:t>sis</w:t>
            </w:r>
            <w:r w:rsidR="007C181B">
              <w:rPr>
                <w:rStyle w:val="product-attr"/>
                <w:rFonts w:ascii="Arial" w:eastAsia="Batang" w:hAnsi="Arial" w:cs="Arial"/>
                <w:i/>
                <w:sz w:val="20"/>
                <w:szCs w:val="20"/>
              </w:rPr>
              <w:t>ë</w:t>
            </w:r>
            <w:r w:rsidRPr="00691A21">
              <w:rPr>
                <w:rStyle w:val="product-attr"/>
                <w:rFonts w:ascii="Arial" w:eastAsia="Batang" w:hAnsi="Arial" w:cs="Arial"/>
                <w:i/>
                <w:sz w:val="20"/>
                <w:szCs w:val="20"/>
              </w:rPr>
              <w:t xml:space="preserve"> e Bashkimit Evropian”</w:t>
            </w:r>
            <w:r w:rsidRPr="00270D9F">
              <w:rPr>
                <w:rStyle w:val="product-attr"/>
                <w:rFonts w:ascii="Arial" w:eastAsia="Batang" w:hAnsi="Arial" w:cs="Arial"/>
                <w:sz w:val="20"/>
                <w:szCs w:val="20"/>
              </w:rPr>
              <w:t>, Tiran</w:t>
            </w:r>
            <w:r w:rsidR="007C181B">
              <w:rPr>
                <w:rStyle w:val="product-attr"/>
                <w:rFonts w:ascii="Arial" w:eastAsia="Batang" w:hAnsi="Arial" w:cs="Arial"/>
                <w:sz w:val="20"/>
                <w:szCs w:val="20"/>
              </w:rPr>
              <w:t>ë</w:t>
            </w:r>
            <w:r w:rsidRPr="00270D9F">
              <w:rPr>
                <w:rStyle w:val="product-attr"/>
                <w:rFonts w:ascii="Arial" w:eastAsia="Batang" w:hAnsi="Arial" w:cs="Arial"/>
                <w:sz w:val="20"/>
                <w:szCs w:val="20"/>
              </w:rPr>
              <w:t xml:space="preserve">, 2014. </w:t>
            </w:r>
          </w:p>
          <w:p w:rsidR="00CB7E44" w:rsidRPr="00270D9F" w:rsidRDefault="00CB7E44" w:rsidP="00376D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Style w:val="product-attr"/>
                <w:rFonts w:ascii="Arial" w:eastAsia="Batang" w:hAnsi="Arial" w:cs="Arial"/>
                <w:sz w:val="20"/>
                <w:szCs w:val="20"/>
              </w:rPr>
            </w:pPr>
            <w:r w:rsidRPr="00270D9F">
              <w:rPr>
                <w:rStyle w:val="product-attr"/>
                <w:rFonts w:ascii="Arial" w:eastAsia="Batang" w:hAnsi="Arial" w:cs="Arial"/>
                <w:sz w:val="20"/>
                <w:szCs w:val="20"/>
              </w:rPr>
              <w:t>Trakt</w:t>
            </w:r>
            <w:r w:rsidR="007C181B">
              <w:rPr>
                <w:rStyle w:val="product-attr"/>
                <w:rFonts w:ascii="Arial" w:eastAsia="Batang" w:hAnsi="Arial" w:cs="Arial"/>
                <w:sz w:val="20"/>
                <w:szCs w:val="20"/>
              </w:rPr>
              <w:t>ati i Bashkimit Evropian/Lisbon</w:t>
            </w:r>
            <w:r w:rsidR="007C181B">
              <w:rPr>
                <w:rStyle w:val="product-attr"/>
                <w:rFonts w:ascii="Arial" w:eastAsia="Batang" w:hAnsi="Arial" w:cs="Arial"/>
                <w:i/>
                <w:sz w:val="20"/>
                <w:szCs w:val="20"/>
              </w:rPr>
              <w:t>ë</w:t>
            </w:r>
            <w:r w:rsidRPr="00270D9F">
              <w:rPr>
                <w:rStyle w:val="product-attr"/>
                <w:rFonts w:ascii="Arial" w:eastAsia="Batang" w:hAnsi="Arial" w:cs="Arial"/>
                <w:sz w:val="20"/>
                <w:szCs w:val="20"/>
              </w:rPr>
              <w:t>s (TBE), 2007.</w:t>
            </w:r>
          </w:p>
          <w:p w:rsidR="00CB7E44" w:rsidRPr="00270D9F" w:rsidRDefault="00CB7E44" w:rsidP="00376D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Style w:val="product-attr"/>
                <w:rFonts w:ascii="Arial" w:eastAsia="Batang" w:hAnsi="Arial" w:cs="Arial"/>
                <w:sz w:val="20"/>
                <w:szCs w:val="20"/>
              </w:rPr>
            </w:pPr>
            <w:r w:rsidRPr="00270D9F">
              <w:rPr>
                <w:rStyle w:val="product-attr"/>
                <w:rFonts w:ascii="Arial" w:eastAsia="Batang" w:hAnsi="Arial" w:cs="Arial"/>
                <w:sz w:val="20"/>
                <w:szCs w:val="20"/>
              </w:rPr>
              <w:t>Directive 2004/38 on the right of citizens of the Union and their families to move freely and reside.</w:t>
            </w:r>
          </w:p>
          <w:p w:rsidR="00CB7E44" w:rsidRPr="00270D9F" w:rsidRDefault="00CB7E44" w:rsidP="00376D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Style w:val="product-attr"/>
                <w:rFonts w:ascii="Arial" w:eastAsia="Batang" w:hAnsi="Arial" w:cs="Arial"/>
                <w:sz w:val="20"/>
                <w:szCs w:val="20"/>
              </w:rPr>
            </w:pPr>
            <w:r w:rsidRPr="00270D9F">
              <w:rPr>
                <w:rStyle w:val="product-attr"/>
                <w:rFonts w:ascii="Arial" w:eastAsia="Batang" w:hAnsi="Arial" w:cs="Arial"/>
                <w:sz w:val="20"/>
                <w:szCs w:val="20"/>
              </w:rPr>
              <w:t xml:space="preserve">Directive 2003/88/EC, </w:t>
            </w:r>
            <w:r>
              <w:rPr>
                <w:rStyle w:val="product-attr"/>
                <w:rFonts w:ascii="Arial" w:eastAsia="Batang" w:hAnsi="Arial" w:cs="Arial"/>
                <w:sz w:val="20"/>
                <w:szCs w:val="20"/>
              </w:rPr>
              <w:t>(</w:t>
            </w:r>
            <w:r w:rsidRPr="00270D9F">
              <w:rPr>
                <w:rStyle w:val="product-attr"/>
                <w:rFonts w:ascii="Arial" w:eastAsia="Batang" w:hAnsi="Arial" w:cs="Arial"/>
                <w:sz w:val="20"/>
                <w:szCs w:val="20"/>
              </w:rPr>
              <w:t>Working hours Directive</w:t>
            </w:r>
            <w:r>
              <w:rPr>
                <w:rStyle w:val="product-attr"/>
                <w:rFonts w:ascii="Arial" w:eastAsia="Batang" w:hAnsi="Arial" w:cs="Arial"/>
                <w:sz w:val="20"/>
                <w:szCs w:val="20"/>
              </w:rPr>
              <w:t>)</w:t>
            </w:r>
            <w:r w:rsidRPr="00270D9F">
              <w:rPr>
                <w:rStyle w:val="product-attr"/>
                <w:rFonts w:ascii="Arial" w:eastAsia="Batang" w:hAnsi="Arial" w:cs="Arial"/>
                <w:sz w:val="20"/>
                <w:szCs w:val="20"/>
              </w:rPr>
              <w:t xml:space="preserve">.  </w:t>
            </w:r>
          </w:p>
          <w:p w:rsidR="00CB7E44" w:rsidRDefault="00CB7E44" w:rsidP="00376D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Style w:val="product-attr"/>
                <w:rFonts w:ascii="Arial" w:eastAsia="Batang" w:hAnsi="Arial" w:cs="Arial"/>
                <w:sz w:val="20"/>
                <w:szCs w:val="20"/>
              </w:rPr>
            </w:pPr>
            <w:r w:rsidRPr="00270D9F">
              <w:rPr>
                <w:rStyle w:val="product-attr"/>
                <w:rFonts w:ascii="Arial" w:eastAsia="Batang" w:hAnsi="Arial" w:cs="Arial"/>
                <w:sz w:val="20"/>
                <w:szCs w:val="20"/>
              </w:rPr>
              <w:t xml:space="preserve">European Pact on Immigration and Asylum, EU Council, 2008. </w:t>
            </w:r>
          </w:p>
          <w:p w:rsidR="00CB7E44" w:rsidRPr="00CB7E44" w:rsidRDefault="00CB7E44" w:rsidP="00376D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CB7E44">
              <w:rPr>
                <w:rStyle w:val="product-attr"/>
                <w:rFonts w:ascii="Arial" w:eastAsia="Batang" w:hAnsi="Arial" w:cs="Arial"/>
                <w:sz w:val="20"/>
                <w:szCs w:val="20"/>
              </w:rPr>
              <w:t>Green Paper on EU Approach to Economic Migration, EU Commission, 2005.</w:t>
            </w:r>
          </w:p>
          <w:p w:rsidR="00477CA0" w:rsidRPr="001C58B9" w:rsidRDefault="00477CA0" w:rsidP="001C58B9">
            <w:p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  <w:p w:rsidR="00477CA0" w:rsidRDefault="00DE400C" w:rsidP="00477CA0">
            <w:pPr>
              <w:spacing w:after="0" w:line="240" w:lineRule="auto"/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Additional Literature</w:t>
            </w:r>
            <w:r w:rsidR="00477CA0" w:rsidRPr="00477CA0">
              <w:rPr>
                <w:rFonts w:ascii="Arial" w:eastAsia="Batang" w:hAnsi="Arial" w:cs="Arial"/>
                <w:b/>
                <w:sz w:val="20"/>
                <w:szCs w:val="20"/>
              </w:rPr>
              <w:t>:</w:t>
            </w:r>
          </w:p>
          <w:p w:rsidR="00C32E5B" w:rsidRPr="00C32E5B" w:rsidRDefault="00C32E5B" w:rsidP="00376D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Tota, Elton,</w:t>
            </w:r>
            <w:r w:rsidRPr="007A2F7F">
              <w:rPr>
                <w:rFonts w:ascii="Arial" w:eastAsia="Batang" w:hAnsi="Arial" w:cs="Arial"/>
                <w:i/>
                <w:sz w:val="20"/>
                <w:szCs w:val="20"/>
              </w:rPr>
              <w:t xml:space="preserve"> </w:t>
            </w:r>
            <w:r w:rsidRPr="007A2F7F">
              <w:rPr>
                <w:rFonts w:ascii="Arial" w:eastAsia="Batang" w:hAnsi="Arial" w:cs="Arial"/>
                <w:sz w:val="20"/>
                <w:szCs w:val="20"/>
              </w:rPr>
              <w:t>Hasanpapaj</w:t>
            </w:r>
            <w:r w:rsidR="007C181B">
              <w:rPr>
                <w:rFonts w:ascii="Arial" w:eastAsia="Batang" w:hAnsi="Arial" w:cs="Arial"/>
                <w:sz w:val="20"/>
                <w:szCs w:val="20"/>
              </w:rPr>
              <w:t>,</w:t>
            </w:r>
            <w:r w:rsidRPr="007A2F7F">
              <w:rPr>
                <w:rFonts w:ascii="Arial" w:eastAsia="Batang" w:hAnsi="Arial" w:cs="Arial"/>
                <w:sz w:val="20"/>
                <w:szCs w:val="20"/>
              </w:rPr>
              <w:t xml:space="preserve"> Bardhyl</w:t>
            </w:r>
            <w:r>
              <w:rPr>
                <w:rFonts w:ascii="Arial" w:eastAsia="Batang" w:hAnsi="Arial" w:cs="Arial"/>
                <w:i/>
                <w:sz w:val="20"/>
                <w:szCs w:val="20"/>
              </w:rPr>
              <w:t xml:space="preserve">, </w:t>
            </w:r>
            <w:r w:rsidRPr="007A2F7F">
              <w:rPr>
                <w:rFonts w:ascii="Arial" w:eastAsia="Batang" w:hAnsi="Arial" w:cs="Arial"/>
                <w:i/>
                <w:sz w:val="20"/>
                <w:szCs w:val="20"/>
              </w:rPr>
              <w:t>“The EU Competition Rules and Impact on Increasing Market Competitiveness on the Western Balkans”</w:t>
            </w:r>
            <w:r>
              <w:rPr>
                <w:rFonts w:ascii="Arial" w:eastAsia="Batang" w:hAnsi="Arial" w:cs="Arial"/>
                <w:sz w:val="20"/>
                <w:szCs w:val="20"/>
              </w:rPr>
              <w:t>,</w:t>
            </w:r>
            <w:r w:rsidRPr="007A2F7F">
              <w:rPr>
                <w:rFonts w:ascii="Arial" w:eastAsia="Batang" w:hAnsi="Arial" w:cs="Arial"/>
                <w:sz w:val="20"/>
                <w:szCs w:val="20"/>
              </w:rPr>
              <w:t xml:space="preserve"> Corporate Governance and Organizational Behavior Review, Volume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5 Issue 2, Special Issue, 2021.</w:t>
            </w:r>
            <w:r w:rsidRPr="007A2F7F">
              <w:rPr>
                <w:rFonts w:ascii="Arial" w:eastAsia="Batang" w:hAnsi="Arial" w:cs="Arial"/>
                <w:sz w:val="20"/>
                <w:szCs w:val="20"/>
              </w:rPr>
              <w:t xml:space="preserve">  </w:t>
            </w:r>
          </w:p>
          <w:p w:rsidR="00EC1DCD" w:rsidRPr="00376DAB" w:rsidRDefault="00EC1DCD" w:rsidP="00376D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EC1DCD">
              <w:rPr>
                <w:rFonts w:ascii="Arial" w:eastAsia="Batang" w:hAnsi="Arial" w:cs="Arial"/>
                <w:sz w:val="20"/>
                <w:szCs w:val="20"/>
              </w:rPr>
              <w:t xml:space="preserve">Jacque, J.P. (2010). </w:t>
            </w:r>
            <w:r w:rsidR="00376DAB" w:rsidRPr="00376DAB">
              <w:rPr>
                <w:rFonts w:ascii="Arial" w:eastAsia="Batang" w:hAnsi="Arial" w:cs="Arial"/>
                <w:i/>
                <w:sz w:val="20"/>
                <w:szCs w:val="20"/>
              </w:rPr>
              <w:t>“</w:t>
            </w:r>
            <w:r w:rsidRPr="00376DAB">
              <w:rPr>
                <w:rFonts w:ascii="Arial" w:eastAsia="Batang" w:hAnsi="Arial" w:cs="Arial"/>
                <w:i/>
                <w:sz w:val="20"/>
                <w:szCs w:val="20"/>
              </w:rPr>
              <w:t>E drejta Institucionale e Bashkimit Evropian</w:t>
            </w:r>
            <w:r w:rsidR="00376DAB" w:rsidRPr="00376DAB">
              <w:rPr>
                <w:rFonts w:ascii="Arial" w:eastAsia="Batang" w:hAnsi="Arial" w:cs="Arial"/>
                <w:i/>
                <w:sz w:val="20"/>
                <w:szCs w:val="20"/>
              </w:rPr>
              <w:t>”</w:t>
            </w:r>
            <w:r w:rsidR="00376DAB">
              <w:rPr>
                <w:rFonts w:ascii="Arial" w:eastAsia="Batang" w:hAnsi="Arial" w:cs="Arial"/>
                <w:sz w:val="20"/>
                <w:szCs w:val="20"/>
              </w:rPr>
              <w:t xml:space="preserve">. Tiranë, </w:t>
            </w:r>
            <w:r w:rsidRPr="00376DAB">
              <w:rPr>
                <w:rFonts w:ascii="Arial" w:eastAsia="Batang" w:hAnsi="Arial" w:cs="Arial"/>
                <w:sz w:val="20"/>
                <w:szCs w:val="20"/>
              </w:rPr>
              <w:t>Papirus.</w:t>
            </w:r>
          </w:p>
          <w:p w:rsidR="00EC1DCD" w:rsidRDefault="00EC1DCD" w:rsidP="00376D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EC1DCD">
              <w:rPr>
                <w:rFonts w:ascii="Arial" w:eastAsia="Batang" w:hAnsi="Arial" w:cs="Arial"/>
                <w:sz w:val="20"/>
                <w:szCs w:val="20"/>
              </w:rPr>
              <w:t xml:space="preserve">Dinan, D. </w:t>
            </w:r>
            <w:r w:rsidR="00376DAB" w:rsidRPr="00376DAB">
              <w:rPr>
                <w:rFonts w:ascii="Arial" w:eastAsia="Batang" w:hAnsi="Arial" w:cs="Arial"/>
                <w:i/>
                <w:sz w:val="20"/>
                <w:szCs w:val="20"/>
              </w:rPr>
              <w:t>“</w:t>
            </w:r>
            <w:r w:rsidRPr="00376DAB">
              <w:rPr>
                <w:rFonts w:ascii="Arial" w:eastAsia="Batang" w:hAnsi="Arial" w:cs="Arial"/>
                <w:i/>
                <w:sz w:val="20"/>
                <w:szCs w:val="20"/>
              </w:rPr>
              <w:t>Politikat e Bashkimit Europian</w:t>
            </w:r>
            <w:r w:rsidR="00376DAB" w:rsidRPr="00376DAB">
              <w:rPr>
                <w:rFonts w:ascii="Arial" w:eastAsia="Batang" w:hAnsi="Arial" w:cs="Arial"/>
                <w:i/>
                <w:sz w:val="20"/>
                <w:szCs w:val="20"/>
              </w:rPr>
              <w:t>”</w:t>
            </w:r>
            <w:r w:rsidR="00376DAB">
              <w:rPr>
                <w:rFonts w:ascii="Arial" w:eastAsia="Batang" w:hAnsi="Arial" w:cs="Arial"/>
                <w:sz w:val="20"/>
                <w:szCs w:val="20"/>
              </w:rPr>
              <w:t>,</w:t>
            </w:r>
            <w:r w:rsidRPr="00EC1DCD">
              <w:rPr>
                <w:rFonts w:ascii="Arial" w:eastAsia="Batang" w:hAnsi="Arial" w:cs="Arial"/>
                <w:sz w:val="20"/>
                <w:szCs w:val="20"/>
              </w:rPr>
              <w:t xml:space="preserve"> Tiranë: AIIS Tirana Times.</w:t>
            </w:r>
          </w:p>
          <w:p w:rsidR="00EC1DCD" w:rsidRDefault="00EC1DCD" w:rsidP="00376D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EC1DCD">
              <w:rPr>
                <w:rFonts w:ascii="Arial" w:eastAsia="Batang" w:hAnsi="Arial" w:cs="Arial"/>
                <w:sz w:val="20"/>
                <w:szCs w:val="20"/>
              </w:rPr>
              <w:t>Ros</w:t>
            </w:r>
            <w:r w:rsidR="00376DAB">
              <w:rPr>
                <w:rFonts w:ascii="Arial" w:eastAsia="Batang" w:hAnsi="Arial" w:cs="Arial"/>
                <w:sz w:val="20"/>
                <w:szCs w:val="20"/>
              </w:rPr>
              <w:t xml:space="preserve">as, A., and Armati, L., (2010), </w:t>
            </w:r>
            <w:r w:rsidR="00376DAB" w:rsidRPr="00376DAB">
              <w:rPr>
                <w:rFonts w:ascii="Arial" w:eastAsia="Batang" w:hAnsi="Arial" w:cs="Arial"/>
                <w:i/>
                <w:sz w:val="20"/>
                <w:szCs w:val="20"/>
              </w:rPr>
              <w:t>“</w:t>
            </w:r>
            <w:r w:rsidRPr="00376DAB">
              <w:rPr>
                <w:rFonts w:ascii="Arial" w:eastAsia="Batang" w:hAnsi="Arial" w:cs="Arial"/>
                <w:i/>
                <w:sz w:val="20"/>
                <w:szCs w:val="20"/>
              </w:rPr>
              <w:t xml:space="preserve">EU Constitutional Law: An </w:t>
            </w:r>
            <w:r w:rsidR="00376DAB">
              <w:rPr>
                <w:rFonts w:ascii="Arial" w:eastAsia="Batang" w:hAnsi="Arial" w:cs="Arial"/>
                <w:i/>
                <w:sz w:val="20"/>
                <w:szCs w:val="20"/>
              </w:rPr>
              <w:t>Introduction”</w:t>
            </w:r>
            <w:r w:rsidR="00376DAB">
              <w:rPr>
                <w:rFonts w:ascii="Arial" w:eastAsia="Batang" w:hAnsi="Arial" w:cs="Arial"/>
                <w:sz w:val="20"/>
                <w:szCs w:val="20"/>
              </w:rPr>
              <w:t>,</w:t>
            </w:r>
            <w:r w:rsidR="0032642A">
              <w:rPr>
                <w:rFonts w:ascii="Arial" w:eastAsia="Batang" w:hAnsi="Arial" w:cs="Arial"/>
                <w:sz w:val="20"/>
                <w:szCs w:val="20"/>
              </w:rPr>
              <w:t xml:space="preserve"> London and New</w:t>
            </w:r>
            <w:r w:rsidRPr="00EC1DCD">
              <w:rPr>
                <w:rFonts w:ascii="Arial" w:eastAsia="Batang" w:hAnsi="Arial" w:cs="Arial"/>
                <w:sz w:val="20"/>
                <w:szCs w:val="20"/>
              </w:rPr>
              <w:t xml:space="preserve"> York: Hart Publishing.</w:t>
            </w:r>
          </w:p>
          <w:p w:rsidR="00290065" w:rsidRDefault="00290065" w:rsidP="00376DAB">
            <w:pPr>
              <w:pStyle w:val="ListParagraph"/>
              <w:numPr>
                <w:ilvl w:val="0"/>
                <w:numId w:val="18"/>
              </w:numPr>
              <w:rPr>
                <w:rFonts w:ascii="Arial" w:eastAsia="Batang" w:hAnsi="Arial" w:cs="Arial"/>
                <w:sz w:val="20"/>
                <w:szCs w:val="20"/>
              </w:rPr>
            </w:pPr>
            <w:r w:rsidRPr="00290065">
              <w:rPr>
                <w:rFonts w:ascii="Arial" w:eastAsia="Batang" w:hAnsi="Arial" w:cs="Arial"/>
                <w:sz w:val="20"/>
                <w:szCs w:val="20"/>
              </w:rPr>
              <w:t xml:space="preserve">Reich, Norbert, </w:t>
            </w:r>
            <w:r w:rsidR="00376DAB" w:rsidRPr="00376DAB">
              <w:rPr>
                <w:rFonts w:ascii="Arial" w:eastAsia="Batang" w:hAnsi="Arial" w:cs="Arial"/>
                <w:i/>
                <w:sz w:val="20"/>
                <w:szCs w:val="20"/>
              </w:rPr>
              <w:t>“</w:t>
            </w:r>
            <w:r w:rsidRPr="00376DAB">
              <w:rPr>
                <w:rFonts w:ascii="Arial" w:eastAsia="Batang" w:hAnsi="Arial" w:cs="Arial"/>
                <w:i/>
                <w:sz w:val="20"/>
                <w:szCs w:val="20"/>
              </w:rPr>
              <w:t>Understanding EU Law. Objectives, Principles and Methods of Community Law</w:t>
            </w:r>
            <w:r w:rsidR="00376DAB" w:rsidRPr="00376DAB">
              <w:rPr>
                <w:rFonts w:ascii="Arial" w:eastAsia="Batang" w:hAnsi="Arial" w:cs="Arial"/>
                <w:i/>
                <w:sz w:val="20"/>
                <w:szCs w:val="20"/>
              </w:rPr>
              <w:t>”</w:t>
            </w:r>
            <w:r w:rsidRPr="00290065">
              <w:rPr>
                <w:rFonts w:ascii="Arial" w:eastAsia="Batang" w:hAnsi="Arial" w:cs="Arial"/>
                <w:sz w:val="20"/>
                <w:szCs w:val="20"/>
              </w:rPr>
              <w:t xml:space="preserve">, 2nd ed., Antwerp / Oxford 2005, 13-52. </w:t>
            </w:r>
          </w:p>
          <w:p w:rsidR="00D4739C" w:rsidRPr="00D4739C" w:rsidRDefault="00D4739C" w:rsidP="00376DAB">
            <w:pPr>
              <w:pStyle w:val="ListParagraph"/>
              <w:numPr>
                <w:ilvl w:val="0"/>
                <w:numId w:val="18"/>
              </w:numPr>
              <w:rPr>
                <w:rFonts w:ascii="Arial" w:eastAsia="Batang" w:hAnsi="Arial" w:cs="Arial"/>
                <w:sz w:val="20"/>
                <w:szCs w:val="20"/>
              </w:rPr>
            </w:pPr>
            <w:r w:rsidRPr="00D4739C">
              <w:rPr>
                <w:rFonts w:ascii="Arial" w:eastAsia="Batang" w:hAnsi="Arial" w:cs="Arial"/>
                <w:sz w:val="20"/>
                <w:szCs w:val="20"/>
              </w:rPr>
              <w:t xml:space="preserve">Foster, Nigel, </w:t>
            </w:r>
            <w:r w:rsidR="00376DAB" w:rsidRPr="00376DAB">
              <w:rPr>
                <w:rFonts w:ascii="Arial" w:eastAsia="Batang" w:hAnsi="Arial" w:cs="Arial"/>
                <w:i/>
                <w:sz w:val="20"/>
                <w:szCs w:val="20"/>
              </w:rPr>
              <w:t>“</w:t>
            </w:r>
            <w:r w:rsidRPr="00376DAB">
              <w:rPr>
                <w:rFonts w:ascii="Arial" w:eastAsia="Batang" w:hAnsi="Arial" w:cs="Arial"/>
                <w:i/>
                <w:sz w:val="20"/>
                <w:szCs w:val="20"/>
              </w:rPr>
              <w:t>Blackstone's EU Treaties &amp; Legislation</w:t>
            </w:r>
            <w:r w:rsidRPr="00D4739C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376DAB">
              <w:rPr>
                <w:rFonts w:ascii="Arial" w:eastAsia="Batang" w:hAnsi="Arial" w:cs="Arial"/>
                <w:i/>
                <w:sz w:val="20"/>
                <w:szCs w:val="20"/>
              </w:rPr>
              <w:t>2012-2013</w:t>
            </w:r>
            <w:r w:rsidR="00376DAB" w:rsidRPr="00376DAB">
              <w:rPr>
                <w:rFonts w:ascii="Arial" w:eastAsia="Batang" w:hAnsi="Arial" w:cs="Arial"/>
                <w:i/>
                <w:sz w:val="20"/>
                <w:szCs w:val="20"/>
              </w:rPr>
              <w:t>”</w:t>
            </w:r>
            <w:r w:rsidRPr="00D4739C">
              <w:rPr>
                <w:rFonts w:ascii="Arial" w:eastAsia="Batang" w:hAnsi="Arial" w:cs="Arial"/>
                <w:sz w:val="20"/>
                <w:szCs w:val="20"/>
              </w:rPr>
              <w:t xml:space="preserve"> (Blackstone's Statutes), Oxford University Press, USA, 2012.</w:t>
            </w:r>
          </w:p>
          <w:p w:rsidR="00D4739C" w:rsidRDefault="00D4739C" w:rsidP="00376DAB">
            <w:pPr>
              <w:pStyle w:val="ListParagraph"/>
              <w:numPr>
                <w:ilvl w:val="0"/>
                <w:numId w:val="18"/>
              </w:numPr>
              <w:rPr>
                <w:rFonts w:ascii="Arial" w:eastAsia="Batang" w:hAnsi="Arial" w:cs="Arial"/>
                <w:sz w:val="20"/>
                <w:szCs w:val="20"/>
              </w:rPr>
            </w:pPr>
            <w:r w:rsidRPr="00D4739C">
              <w:rPr>
                <w:rFonts w:ascii="Arial" w:eastAsia="Batang" w:hAnsi="Arial" w:cs="Arial"/>
                <w:sz w:val="20"/>
                <w:szCs w:val="20"/>
              </w:rPr>
              <w:t xml:space="preserve">Foster, Nigel, </w:t>
            </w:r>
            <w:r w:rsidR="00376DAB" w:rsidRPr="00376DAB">
              <w:rPr>
                <w:rFonts w:ascii="Arial" w:eastAsia="Batang" w:hAnsi="Arial" w:cs="Arial"/>
                <w:i/>
                <w:sz w:val="20"/>
                <w:szCs w:val="20"/>
              </w:rPr>
              <w:t>“EU Law Directions”</w:t>
            </w:r>
            <w:r w:rsidR="00376DAB">
              <w:rPr>
                <w:rFonts w:ascii="Arial" w:eastAsia="Batang" w:hAnsi="Arial" w:cs="Arial"/>
                <w:sz w:val="20"/>
                <w:szCs w:val="20"/>
              </w:rPr>
              <w:t>,</w:t>
            </w:r>
            <w:r w:rsidRPr="00D4739C">
              <w:rPr>
                <w:rFonts w:ascii="Arial" w:eastAsia="Batang" w:hAnsi="Arial" w:cs="Arial"/>
                <w:sz w:val="20"/>
                <w:szCs w:val="20"/>
              </w:rPr>
              <w:t xml:space="preserve"> Oxford University Press, USA, 2012. </w:t>
            </w:r>
          </w:p>
          <w:p w:rsidR="00376DAB" w:rsidRPr="00270D9F" w:rsidRDefault="00376DAB" w:rsidP="00376D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Style w:val="product-attr"/>
                <w:rFonts w:ascii="Arial" w:eastAsia="Batang" w:hAnsi="Arial" w:cs="Arial"/>
                <w:sz w:val="20"/>
                <w:szCs w:val="20"/>
              </w:rPr>
            </w:pPr>
            <w:r w:rsidRPr="00270D9F">
              <w:rPr>
                <w:rStyle w:val="product-attr"/>
                <w:rFonts w:ascii="Arial" w:eastAsia="Batang" w:hAnsi="Arial" w:cs="Arial"/>
                <w:sz w:val="20"/>
                <w:szCs w:val="20"/>
              </w:rPr>
              <w:t>Rules of Proce</w:t>
            </w:r>
            <w:r w:rsidR="001E7CB3">
              <w:rPr>
                <w:rStyle w:val="product-attr"/>
                <w:rFonts w:ascii="Arial" w:eastAsia="Batang" w:hAnsi="Arial" w:cs="Arial"/>
                <w:sz w:val="20"/>
                <w:szCs w:val="20"/>
              </w:rPr>
              <w:t>d</w:t>
            </w:r>
            <w:r w:rsidRPr="00270D9F">
              <w:rPr>
                <w:rStyle w:val="product-attr"/>
                <w:rFonts w:ascii="Arial" w:eastAsia="Batang" w:hAnsi="Arial" w:cs="Arial"/>
                <w:sz w:val="20"/>
                <w:szCs w:val="20"/>
              </w:rPr>
              <w:t xml:space="preserve">ure of the European Court of Justice.  </w:t>
            </w:r>
          </w:p>
          <w:p w:rsidR="00376DAB" w:rsidRDefault="00376DAB" w:rsidP="00376D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Style w:val="product-attr"/>
                <w:rFonts w:ascii="Arial" w:eastAsia="Batang" w:hAnsi="Arial" w:cs="Arial"/>
                <w:sz w:val="20"/>
                <w:szCs w:val="20"/>
              </w:rPr>
            </w:pPr>
            <w:r w:rsidRPr="00376DAB">
              <w:rPr>
                <w:rStyle w:val="product-attr"/>
                <w:rFonts w:ascii="Arial" w:eastAsia="Batang" w:hAnsi="Arial" w:cs="Arial"/>
                <w:i/>
                <w:sz w:val="20"/>
                <w:szCs w:val="20"/>
              </w:rPr>
              <w:t>“Council Regulation (EC) No 1/2003 on the implementation of the rules on competition laid down in Articles 81 and 82 of the Treaty”</w:t>
            </w:r>
            <w:r>
              <w:rPr>
                <w:rStyle w:val="product-attr"/>
                <w:rFonts w:ascii="Arial" w:eastAsia="Batang" w:hAnsi="Arial" w:cs="Arial"/>
                <w:sz w:val="20"/>
                <w:szCs w:val="20"/>
              </w:rPr>
              <w:t xml:space="preserve"> (EU Anti-Trust Regulation);</w:t>
            </w:r>
          </w:p>
          <w:p w:rsidR="00BF2E51" w:rsidRPr="00376DAB" w:rsidRDefault="00376DAB" w:rsidP="00376D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376DAB">
              <w:rPr>
                <w:rStyle w:val="product-attr"/>
                <w:rFonts w:ascii="Arial" w:eastAsia="Batang" w:hAnsi="Arial" w:cs="Arial"/>
                <w:i/>
                <w:sz w:val="20"/>
                <w:szCs w:val="20"/>
              </w:rPr>
              <w:t>“Council Regulation (EC) No 139/2004 on the control of concentrations between undertakings”</w:t>
            </w:r>
            <w:r>
              <w:rPr>
                <w:rStyle w:val="product-attr"/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70013B">
              <w:rPr>
                <w:rStyle w:val="product-attr"/>
                <w:rFonts w:ascii="Arial" w:eastAsia="Batang" w:hAnsi="Arial" w:cs="Arial"/>
                <w:sz w:val="20"/>
                <w:szCs w:val="20"/>
              </w:rPr>
              <w:t>(the EC Merger Regulation)</w:t>
            </w:r>
            <w:r>
              <w:rPr>
                <w:rStyle w:val="product-attr"/>
                <w:rFonts w:ascii="Arial" w:eastAsia="Batang" w:hAnsi="Arial" w:cs="Arial"/>
                <w:sz w:val="20"/>
                <w:szCs w:val="20"/>
              </w:rPr>
              <w:t>.</w:t>
            </w:r>
          </w:p>
        </w:tc>
      </w:tr>
      <w:tr w:rsidR="008B2FEE" w:rsidTr="00CF6310">
        <w:trPr>
          <w:trHeight w:val="105"/>
        </w:trPr>
        <w:tc>
          <w:tcPr>
            <w:tcW w:w="2520" w:type="dxa"/>
            <w:shd w:val="clear" w:color="auto" w:fill="8DB3E2" w:themeFill="text2" w:themeFillTint="66"/>
          </w:tcPr>
          <w:p w:rsidR="008B2FEE" w:rsidRPr="00042A54" w:rsidRDefault="003E5F9B" w:rsidP="006162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Contac</w:t>
            </w:r>
            <w:r w:rsidR="008B2FEE" w:rsidRPr="00042A54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470" w:type="dxa"/>
          </w:tcPr>
          <w:p w:rsidR="008B2FEE" w:rsidRPr="003503F8" w:rsidRDefault="008D6E93" w:rsidP="00616207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B14977" w:rsidRPr="0086344D">
                <w:rPr>
                  <w:rStyle w:val="Hyperlink"/>
                  <w:rFonts w:ascii="Arial" w:hAnsi="Arial" w:cs="Arial"/>
                  <w:sz w:val="20"/>
                  <w:szCs w:val="20"/>
                </w:rPr>
                <w:t>elton.tota@ubt-uni.net</w:t>
              </w:r>
            </w:hyperlink>
            <w:r w:rsidR="00B149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16207" w:rsidRDefault="00616207"/>
    <w:sectPr w:rsidR="00616207" w:rsidSect="006666A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08D6"/>
    <w:multiLevelType w:val="hybridMultilevel"/>
    <w:tmpl w:val="B2922E4C"/>
    <w:lvl w:ilvl="0" w:tplc="882470F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B7E41"/>
    <w:multiLevelType w:val="hybridMultilevel"/>
    <w:tmpl w:val="C562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4237D"/>
    <w:multiLevelType w:val="hybridMultilevel"/>
    <w:tmpl w:val="7A800BC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204812B7"/>
    <w:multiLevelType w:val="hybridMultilevel"/>
    <w:tmpl w:val="4204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D4F13"/>
    <w:multiLevelType w:val="hybridMultilevel"/>
    <w:tmpl w:val="B6E6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24227"/>
    <w:multiLevelType w:val="hybridMultilevel"/>
    <w:tmpl w:val="92AC78CE"/>
    <w:lvl w:ilvl="0" w:tplc="A344E1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36737"/>
    <w:multiLevelType w:val="hybridMultilevel"/>
    <w:tmpl w:val="10C6F560"/>
    <w:lvl w:ilvl="0" w:tplc="4D82EE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F2ED4"/>
    <w:multiLevelType w:val="hybridMultilevel"/>
    <w:tmpl w:val="D2943400"/>
    <w:lvl w:ilvl="0" w:tplc="97D65E66">
      <w:start w:val="6"/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34875C74"/>
    <w:multiLevelType w:val="hybridMultilevel"/>
    <w:tmpl w:val="ABF20A3A"/>
    <w:lvl w:ilvl="0" w:tplc="DAE2CA70">
      <w:start w:val="8"/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FE5084C"/>
    <w:multiLevelType w:val="hybridMultilevel"/>
    <w:tmpl w:val="D59449C4"/>
    <w:lvl w:ilvl="0" w:tplc="42EE258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0309B"/>
    <w:multiLevelType w:val="hybridMultilevel"/>
    <w:tmpl w:val="BE4C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70089"/>
    <w:multiLevelType w:val="hybridMultilevel"/>
    <w:tmpl w:val="57A6D7A8"/>
    <w:lvl w:ilvl="0" w:tplc="4D82EE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B7891"/>
    <w:multiLevelType w:val="hybridMultilevel"/>
    <w:tmpl w:val="EE8C13DE"/>
    <w:lvl w:ilvl="0" w:tplc="E87A5882">
      <w:numFmt w:val="bullet"/>
      <w:lvlText w:val="-"/>
      <w:lvlJc w:val="left"/>
      <w:pPr>
        <w:ind w:left="432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49E650D7"/>
    <w:multiLevelType w:val="hybridMultilevel"/>
    <w:tmpl w:val="3A6A8806"/>
    <w:lvl w:ilvl="0" w:tplc="4D82EE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77417"/>
    <w:multiLevelType w:val="hybridMultilevel"/>
    <w:tmpl w:val="7B2012B6"/>
    <w:lvl w:ilvl="0" w:tplc="00D40F9E">
      <w:start w:val="6"/>
      <w:numFmt w:val="bullet"/>
      <w:lvlText w:val="-"/>
      <w:lvlJc w:val="left"/>
      <w:pPr>
        <w:ind w:left="6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5" w15:restartNumberingAfterBreak="0">
    <w:nsid w:val="4BF1257C"/>
    <w:multiLevelType w:val="hybridMultilevel"/>
    <w:tmpl w:val="9364EF5E"/>
    <w:lvl w:ilvl="0" w:tplc="4D82EE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E499B"/>
    <w:multiLevelType w:val="hybridMultilevel"/>
    <w:tmpl w:val="399A5C62"/>
    <w:lvl w:ilvl="0" w:tplc="B374E7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B3893"/>
    <w:multiLevelType w:val="hybridMultilevel"/>
    <w:tmpl w:val="5208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1317F"/>
    <w:multiLevelType w:val="hybridMultilevel"/>
    <w:tmpl w:val="084A5C3E"/>
    <w:lvl w:ilvl="0" w:tplc="4D82EE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13"/>
  </w:num>
  <w:num w:numId="5">
    <w:abstractNumId w:val="11"/>
  </w:num>
  <w:num w:numId="6">
    <w:abstractNumId w:val="15"/>
  </w:num>
  <w:num w:numId="7">
    <w:abstractNumId w:val="4"/>
  </w:num>
  <w:num w:numId="8">
    <w:abstractNumId w:val="2"/>
  </w:num>
  <w:num w:numId="9">
    <w:abstractNumId w:val="12"/>
  </w:num>
  <w:num w:numId="10">
    <w:abstractNumId w:val="16"/>
  </w:num>
  <w:num w:numId="11">
    <w:abstractNumId w:val="10"/>
  </w:num>
  <w:num w:numId="12">
    <w:abstractNumId w:val="14"/>
  </w:num>
  <w:num w:numId="13">
    <w:abstractNumId w:val="7"/>
  </w:num>
  <w:num w:numId="14">
    <w:abstractNumId w:val="8"/>
  </w:num>
  <w:num w:numId="15">
    <w:abstractNumId w:val="0"/>
  </w:num>
  <w:num w:numId="16">
    <w:abstractNumId w:val="9"/>
  </w:num>
  <w:num w:numId="17">
    <w:abstractNumId w:val="3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D9"/>
    <w:rsid w:val="00003A2E"/>
    <w:rsid w:val="00004346"/>
    <w:rsid w:val="00004EF5"/>
    <w:rsid w:val="000106C0"/>
    <w:rsid w:val="00012B27"/>
    <w:rsid w:val="00014C35"/>
    <w:rsid w:val="00016F23"/>
    <w:rsid w:val="0001724A"/>
    <w:rsid w:val="000230BD"/>
    <w:rsid w:val="00024480"/>
    <w:rsid w:val="000271B3"/>
    <w:rsid w:val="0003115C"/>
    <w:rsid w:val="00031E25"/>
    <w:rsid w:val="00032812"/>
    <w:rsid w:val="00032D96"/>
    <w:rsid w:val="00033DA5"/>
    <w:rsid w:val="000414B1"/>
    <w:rsid w:val="000421F4"/>
    <w:rsid w:val="00046D85"/>
    <w:rsid w:val="00053551"/>
    <w:rsid w:val="0005621E"/>
    <w:rsid w:val="00056598"/>
    <w:rsid w:val="00057A57"/>
    <w:rsid w:val="000607B4"/>
    <w:rsid w:val="00073D7B"/>
    <w:rsid w:val="00080D77"/>
    <w:rsid w:val="00093B01"/>
    <w:rsid w:val="00094936"/>
    <w:rsid w:val="00095078"/>
    <w:rsid w:val="0009672F"/>
    <w:rsid w:val="000A03E7"/>
    <w:rsid w:val="000A1395"/>
    <w:rsid w:val="000C2809"/>
    <w:rsid w:val="000C47C5"/>
    <w:rsid w:val="000C5044"/>
    <w:rsid w:val="000C72F4"/>
    <w:rsid w:val="000D0BD7"/>
    <w:rsid w:val="000D69AC"/>
    <w:rsid w:val="000D74BF"/>
    <w:rsid w:val="000D7D1D"/>
    <w:rsid w:val="000E032F"/>
    <w:rsid w:val="000E39FD"/>
    <w:rsid w:val="000F1322"/>
    <w:rsid w:val="001054F5"/>
    <w:rsid w:val="0010628F"/>
    <w:rsid w:val="00106E74"/>
    <w:rsid w:val="00107129"/>
    <w:rsid w:val="001076FB"/>
    <w:rsid w:val="00111AF0"/>
    <w:rsid w:val="001138E7"/>
    <w:rsid w:val="00114179"/>
    <w:rsid w:val="00121D64"/>
    <w:rsid w:val="00123A47"/>
    <w:rsid w:val="00123EB3"/>
    <w:rsid w:val="00133D11"/>
    <w:rsid w:val="00136DDC"/>
    <w:rsid w:val="00140D64"/>
    <w:rsid w:val="00142294"/>
    <w:rsid w:val="00142C31"/>
    <w:rsid w:val="001547A7"/>
    <w:rsid w:val="001566E2"/>
    <w:rsid w:val="0016278C"/>
    <w:rsid w:val="00167573"/>
    <w:rsid w:val="00170304"/>
    <w:rsid w:val="00174CC0"/>
    <w:rsid w:val="00175AA2"/>
    <w:rsid w:val="0017611F"/>
    <w:rsid w:val="001778BC"/>
    <w:rsid w:val="00184D92"/>
    <w:rsid w:val="00186239"/>
    <w:rsid w:val="00186CC5"/>
    <w:rsid w:val="00186DF6"/>
    <w:rsid w:val="00187E13"/>
    <w:rsid w:val="001941A5"/>
    <w:rsid w:val="001961FF"/>
    <w:rsid w:val="0019720C"/>
    <w:rsid w:val="001A0E68"/>
    <w:rsid w:val="001A3272"/>
    <w:rsid w:val="001A3EFF"/>
    <w:rsid w:val="001A6FD2"/>
    <w:rsid w:val="001A79CF"/>
    <w:rsid w:val="001B0FBB"/>
    <w:rsid w:val="001B27FB"/>
    <w:rsid w:val="001B3545"/>
    <w:rsid w:val="001B5697"/>
    <w:rsid w:val="001B7C1F"/>
    <w:rsid w:val="001C14D1"/>
    <w:rsid w:val="001C58B9"/>
    <w:rsid w:val="001D2640"/>
    <w:rsid w:val="001D4392"/>
    <w:rsid w:val="001D4A9C"/>
    <w:rsid w:val="001D5D3C"/>
    <w:rsid w:val="001D5FE8"/>
    <w:rsid w:val="001E00AA"/>
    <w:rsid w:val="001E7CB3"/>
    <w:rsid w:val="001F30F6"/>
    <w:rsid w:val="00201002"/>
    <w:rsid w:val="0020750E"/>
    <w:rsid w:val="00220D8D"/>
    <w:rsid w:val="002216E7"/>
    <w:rsid w:val="002231ED"/>
    <w:rsid w:val="00223808"/>
    <w:rsid w:val="0022551A"/>
    <w:rsid w:val="00225D9C"/>
    <w:rsid w:val="00231122"/>
    <w:rsid w:val="002325A8"/>
    <w:rsid w:val="002352DB"/>
    <w:rsid w:val="002379A1"/>
    <w:rsid w:val="00237FAE"/>
    <w:rsid w:val="002467FA"/>
    <w:rsid w:val="0025312D"/>
    <w:rsid w:val="0025781C"/>
    <w:rsid w:val="002628CC"/>
    <w:rsid w:val="00263361"/>
    <w:rsid w:val="002709BB"/>
    <w:rsid w:val="0027157F"/>
    <w:rsid w:val="00271C52"/>
    <w:rsid w:val="002723B3"/>
    <w:rsid w:val="00272581"/>
    <w:rsid w:val="00281EB5"/>
    <w:rsid w:val="002850C4"/>
    <w:rsid w:val="00290065"/>
    <w:rsid w:val="00292FBB"/>
    <w:rsid w:val="00295BA5"/>
    <w:rsid w:val="002B4000"/>
    <w:rsid w:val="002C0DAB"/>
    <w:rsid w:val="002C2C64"/>
    <w:rsid w:val="002C5976"/>
    <w:rsid w:val="002C62CD"/>
    <w:rsid w:val="002C664A"/>
    <w:rsid w:val="002D1542"/>
    <w:rsid w:val="002D1F48"/>
    <w:rsid w:val="002D22BC"/>
    <w:rsid w:val="002D4D11"/>
    <w:rsid w:val="002D73B1"/>
    <w:rsid w:val="002E1F5F"/>
    <w:rsid w:val="002E44EF"/>
    <w:rsid w:val="002E53B3"/>
    <w:rsid w:val="002E5C86"/>
    <w:rsid w:val="002E6592"/>
    <w:rsid w:val="002E7B62"/>
    <w:rsid w:val="002F0D2D"/>
    <w:rsid w:val="002F5CF3"/>
    <w:rsid w:val="0030130D"/>
    <w:rsid w:val="00302F99"/>
    <w:rsid w:val="00307B79"/>
    <w:rsid w:val="00307EEA"/>
    <w:rsid w:val="003131E2"/>
    <w:rsid w:val="003146BC"/>
    <w:rsid w:val="00314810"/>
    <w:rsid w:val="00315A11"/>
    <w:rsid w:val="00316518"/>
    <w:rsid w:val="00321DBA"/>
    <w:rsid w:val="0032282C"/>
    <w:rsid w:val="0032461E"/>
    <w:rsid w:val="0032642A"/>
    <w:rsid w:val="00326C08"/>
    <w:rsid w:val="00334ED7"/>
    <w:rsid w:val="00336DDF"/>
    <w:rsid w:val="00340670"/>
    <w:rsid w:val="00340AB6"/>
    <w:rsid w:val="00341CB6"/>
    <w:rsid w:val="00341CE7"/>
    <w:rsid w:val="003423C7"/>
    <w:rsid w:val="00344F5F"/>
    <w:rsid w:val="003467C0"/>
    <w:rsid w:val="00347A22"/>
    <w:rsid w:val="003503F8"/>
    <w:rsid w:val="00352940"/>
    <w:rsid w:val="00352C9C"/>
    <w:rsid w:val="00355D58"/>
    <w:rsid w:val="003578F4"/>
    <w:rsid w:val="00360779"/>
    <w:rsid w:val="003651A2"/>
    <w:rsid w:val="003658E7"/>
    <w:rsid w:val="003660D4"/>
    <w:rsid w:val="00366F42"/>
    <w:rsid w:val="00376DAB"/>
    <w:rsid w:val="00380200"/>
    <w:rsid w:val="003812D9"/>
    <w:rsid w:val="003824DE"/>
    <w:rsid w:val="003834C8"/>
    <w:rsid w:val="00386996"/>
    <w:rsid w:val="003945F7"/>
    <w:rsid w:val="00395280"/>
    <w:rsid w:val="00395E75"/>
    <w:rsid w:val="00396C08"/>
    <w:rsid w:val="003A2CB8"/>
    <w:rsid w:val="003A5A4B"/>
    <w:rsid w:val="003B2273"/>
    <w:rsid w:val="003B3445"/>
    <w:rsid w:val="003B36B6"/>
    <w:rsid w:val="003B6199"/>
    <w:rsid w:val="003C75F6"/>
    <w:rsid w:val="003D2ED5"/>
    <w:rsid w:val="003D42B2"/>
    <w:rsid w:val="003E1028"/>
    <w:rsid w:val="003E4A3F"/>
    <w:rsid w:val="003E5F9B"/>
    <w:rsid w:val="003E7164"/>
    <w:rsid w:val="003F0510"/>
    <w:rsid w:val="003F0563"/>
    <w:rsid w:val="003F108D"/>
    <w:rsid w:val="003F10FB"/>
    <w:rsid w:val="003F208B"/>
    <w:rsid w:val="003F3A6B"/>
    <w:rsid w:val="003F4EE6"/>
    <w:rsid w:val="003F79D4"/>
    <w:rsid w:val="00402249"/>
    <w:rsid w:val="0040460F"/>
    <w:rsid w:val="004049BA"/>
    <w:rsid w:val="00406640"/>
    <w:rsid w:val="00406991"/>
    <w:rsid w:val="004112A2"/>
    <w:rsid w:val="00416E97"/>
    <w:rsid w:val="00417B97"/>
    <w:rsid w:val="004200FB"/>
    <w:rsid w:val="0042131F"/>
    <w:rsid w:val="00421B02"/>
    <w:rsid w:val="0042237B"/>
    <w:rsid w:val="004250C0"/>
    <w:rsid w:val="00430632"/>
    <w:rsid w:val="004307E1"/>
    <w:rsid w:val="00430D32"/>
    <w:rsid w:val="00431598"/>
    <w:rsid w:val="0043199B"/>
    <w:rsid w:val="00440867"/>
    <w:rsid w:val="00441524"/>
    <w:rsid w:val="00443EA8"/>
    <w:rsid w:val="00445B0D"/>
    <w:rsid w:val="00455346"/>
    <w:rsid w:val="0045621A"/>
    <w:rsid w:val="00456F13"/>
    <w:rsid w:val="0045759B"/>
    <w:rsid w:val="00463A48"/>
    <w:rsid w:val="004719D7"/>
    <w:rsid w:val="00472379"/>
    <w:rsid w:val="00475D3B"/>
    <w:rsid w:val="004771D6"/>
    <w:rsid w:val="00477CA0"/>
    <w:rsid w:val="00481C4E"/>
    <w:rsid w:val="0049290F"/>
    <w:rsid w:val="0049506B"/>
    <w:rsid w:val="004A7565"/>
    <w:rsid w:val="004B0550"/>
    <w:rsid w:val="004B222E"/>
    <w:rsid w:val="004B2E4D"/>
    <w:rsid w:val="004B6541"/>
    <w:rsid w:val="004C2005"/>
    <w:rsid w:val="004C26B7"/>
    <w:rsid w:val="004D0F2E"/>
    <w:rsid w:val="004D21B5"/>
    <w:rsid w:val="004D2C8B"/>
    <w:rsid w:val="004D3F5E"/>
    <w:rsid w:val="004E02C2"/>
    <w:rsid w:val="004E7A97"/>
    <w:rsid w:val="004E7E60"/>
    <w:rsid w:val="004F7463"/>
    <w:rsid w:val="004F75EE"/>
    <w:rsid w:val="005012DD"/>
    <w:rsid w:val="00504BA6"/>
    <w:rsid w:val="0050548E"/>
    <w:rsid w:val="00506E7A"/>
    <w:rsid w:val="00510CC3"/>
    <w:rsid w:val="00512BB5"/>
    <w:rsid w:val="00512EC8"/>
    <w:rsid w:val="00514844"/>
    <w:rsid w:val="00515330"/>
    <w:rsid w:val="00515CB8"/>
    <w:rsid w:val="00516DB9"/>
    <w:rsid w:val="005171C8"/>
    <w:rsid w:val="00517496"/>
    <w:rsid w:val="00520D23"/>
    <w:rsid w:val="00523E8E"/>
    <w:rsid w:val="0053424D"/>
    <w:rsid w:val="005362DC"/>
    <w:rsid w:val="00540381"/>
    <w:rsid w:val="00543C45"/>
    <w:rsid w:val="005452AD"/>
    <w:rsid w:val="00546E44"/>
    <w:rsid w:val="00547D3A"/>
    <w:rsid w:val="00550CD9"/>
    <w:rsid w:val="0055130B"/>
    <w:rsid w:val="00556CB6"/>
    <w:rsid w:val="0055779E"/>
    <w:rsid w:val="00564BBA"/>
    <w:rsid w:val="00566544"/>
    <w:rsid w:val="00570E56"/>
    <w:rsid w:val="00571B44"/>
    <w:rsid w:val="00571E09"/>
    <w:rsid w:val="00577C88"/>
    <w:rsid w:val="0058132A"/>
    <w:rsid w:val="00581DE3"/>
    <w:rsid w:val="00581EDB"/>
    <w:rsid w:val="0058398F"/>
    <w:rsid w:val="00590A6B"/>
    <w:rsid w:val="005967F6"/>
    <w:rsid w:val="005A060D"/>
    <w:rsid w:val="005A1882"/>
    <w:rsid w:val="005A2BC3"/>
    <w:rsid w:val="005A2F41"/>
    <w:rsid w:val="005A5898"/>
    <w:rsid w:val="005A7E70"/>
    <w:rsid w:val="005B44EF"/>
    <w:rsid w:val="005C00F7"/>
    <w:rsid w:val="005C151E"/>
    <w:rsid w:val="005C6EA4"/>
    <w:rsid w:val="005C7FF3"/>
    <w:rsid w:val="005D03E9"/>
    <w:rsid w:val="005D1E9E"/>
    <w:rsid w:val="005D40D4"/>
    <w:rsid w:val="005D54F0"/>
    <w:rsid w:val="005E0836"/>
    <w:rsid w:val="005E262E"/>
    <w:rsid w:val="005E328A"/>
    <w:rsid w:val="005E3489"/>
    <w:rsid w:val="005E44D7"/>
    <w:rsid w:val="005E4FC6"/>
    <w:rsid w:val="005E6268"/>
    <w:rsid w:val="005E7BA0"/>
    <w:rsid w:val="005F09F7"/>
    <w:rsid w:val="005F29BB"/>
    <w:rsid w:val="005F78C4"/>
    <w:rsid w:val="006042E8"/>
    <w:rsid w:val="00606F0F"/>
    <w:rsid w:val="006100A3"/>
    <w:rsid w:val="00610731"/>
    <w:rsid w:val="006107C0"/>
    <w:rsid w:val="00614A25"/>
    <w:rsid w:val="00614C31"/>
    <w:rsid w:val="00616207"/>
    <w:rsid w:val="00617390"/>
    <w:rsid w:val="00625AB8"/>
    <w:rsid w:val="00634B98"/>
    <w:rsid w:val="0063613A"/>
    <w:rsid w:val="00646697"/>
    <w:rsid w:val="006470DF"/>
    <w:rsid w:val="00652205"/>
    <w:rsid w:val="00652E03"/>
    <w:rsid w:val="00653510"/>
    <w:rsid w:val="00654332"/>
    <w:rsid w:val="0065663E"/>
    <w:rsid w:val="00660A66"/>
    <w:rsid w:val="00660CBD"/>
    <w:rsid w:val="00662B30"/>
    <w:rsid w:val="0066402E"/>
    <w:rsid w:val="00665434"/>
    <w:rsid w:val="006666AD"/>
    <w:rsid w:val="00666FCB"/>
    <w:rsid w:val="0067002C"/>
    <w:rsid w:val="00674D0B"/>
    <w:rsid w:val="006761C1"/>
    <w:rsid w:val="006832DF"/>
    <w:rsid w:val="0069070C"/>
    <w:rsid w:val="006952D8"/>
    <w:rsid w:val="00695987"/>
    <w:rsid w:val="006A4467"/>
    <w:rsid w:val="006A614F"/>
    <w:rsid w:val="006A6574"/>
    <w:rsid w:val="006A7C33"/>
    <w:rsid w:val="006B5BC6"/>
    <w:rsid w:val="006B68FB"/>
    <w:rsid w:val="006B69F2"/>
    <w:rsid w:val="006C0003"/>
    <w:rsid w:val="006C140E"/>
    <w:rsid w:val="006C15F2"/>
    <w:rsid w:val="006C71EC"/>
    <w:rsid w:val="006D09C3"/>
    <w:rsid w:val="006D0D34"/>
    <w:rsid w:val="006D4E1D"/>
    <w:rsid w:val="006D6666"/>
    <w:rsid w:val="006E133E"/>
    <w:rsid w:val="006E76B4"/>
    <w:rsid w:val="006F2C0A"/>
    <w:rsid w:val="006F3272"/>
    <w:rsid w:val="006F3782"/>
    <w:rsid w:val="006F51BD"/>
    <w:rsid w:val="006F66B7"/>
    <w:rsid w:val="0070013B"/>
    <w:rsid w:val="0070404B"/>
    <w:rsid w:val="0070464F"/>
    <w:rsid w:val="0070649B"/>
    <w:rsid w:val="00710CDF"/>
    <w:rsid w:val="007124E8"/>
    <w:rsid w:val="007127D5"/>
    <w:rsid w:val="007152E2"/>
    <w:rsid w:val="0073143B"/>
    <w:rsid w:val="007350B4"/>
    <w:rsid w:val="007354F0"/>
    <w:rsid w:val="007367C6"/>
    <w:rsid w:val="007405F1"/>
    <w:rsid w:val="007418E0"/>
    <w:rsid w:val="00754F61"/>
    <w:rsid w:val="00757292"/>
    <w:rsid w:val="00761A4B"/>
    <w:rsid w:val="007632FB"/>
    <w:rsid w:val="00764CB4"/>
    <w:rsid w:val="007740F1"/>
    <w:rsid w:val="0077659B"/>
    <w:rsid w:val="00777997"/>
    <w:rsid w:val="00782969"/>
    <w:rsid w:val="00784C25"/>
    <w:rsid w:val="007904B9"/>
    <w:rsid w:val="00790CBB"/>
    <w:rsid w:val="0079319F"/>
    <w:rsid w:val="0079350F"/>
    <w:rsid w:val="00793AA0"/>
    <w:rsid w:val="007A2F7F"/>
    <w:rsid w:val="007A44B6"/>
    <w:rsid w:val="007A7C98"/>
    <w:rsid w:val="007B7C0D"/>
    <w:rsid w:val="007B7E4A"/>
    <w:rsid w:val="007C0320"/>
    <w:rsid w:val="007C181B"/>
    <w:rsid w:val="007D1EF4"/>
    <w:rsid w:val="007D3682"/>
    <w:rsid w:val="007D3DBB"/>
    <w:rsid w:val="007D6562"/>
    <w:rsid w:val="007E781E"/>
    <w:rsid w:val="007F107B"/>
    <w:rsid w:val="00802CBE"/>
    <w:rsid w:val="0080515F"/>
    <w:rsid w:val="00805420"/>
    <w:rsid w:val="0081230D"/>
    <w:rsid w:val="00821174"/>
    <w:rsid w:val="00822AB7"/>
    <w:rsid w:val="0082637B"/>
    <w:rsid w:val="00831FB5"/>
    <w:rsid w:val="008324AF"/>
    <w:rsid w:val="00832A87"/>
    <w:rsid w:val="0083583F"/>
    <w:rsid w:val="008373AC"/>
    <w:rsid w:val="00837645"/>
    <w:rsid w:val="00837EA2"/>
    <w:rsid w:val="0084277A"/>
    <w:rsid w:val="00842F20"/>
    <w:rsid w:val="008431CC"/>
    <w:rsid w:val="00846369"/>
    <w:rsid w:val="0084717F"/>
    <w:rsid w:val="00850224"/>
    <w:rsid w:val="00852A75"/>
    <w:rsid w:val="00856355"/>
    <w:rsid w:val="008631A3"/>
    <w:rsid w:val="00866247"/>
    <w:rsid w:val="00867A1B"/>
    <w:rsid w:val="00875A15"/>
    <w:rsid w:val="008771DA"/>
    <w:rsid w:val="00880613"/>
    <w:rsid w:val="00886BE6"/>
    <w:rsid w:val="00887BC7"/>
    <w:rsid w:val="008A2B6F"/>
    <w:rsid w:val="008A3791"/>
    <w:rsid w:val="008A537E"/>
    <w:rsid w:val="008B2FEE"/>
    <w:rsid w:val="008B5459"/>
    <w:rsid w:val="008C0D6F"/>
    <w:rsid w:val="008C4EAF"/>
    <w:rsid w:val="008C6B45"/>
    <w:rsid w:val="008D2497"/>
    <w:rsid w:val="008D6E93"/>
    <w:rsid w:val="008E43CC"/>
    <w:rsid w:val="008E6869"/>
    <w:rsid w:val="008F5026"/>
    <w:rsid w:val="008F6166"/>
    <w:rsid w:val="009030A7"/>
    <w:rsid w:val="00910335"/>
    <w:rsid w:val="00911B9F"/>
    <w:rsid w:val="009125BF"/>
    <w:rsid w:val="0091769D"/>
    <w:rsid w:val="00917DD9"/>
    <w:rsid w:val="00921764"/>
    <w:rsid w:val="00921AF5"/>
    <w:rsid w:val="00923333"/>
    <w:rsid w:val="00930452"/>
    <w:rsid w:val="00930E64"/>
    <w:rsid w:val="00932BAC"/>
    <w:rsid w:val="00940727"/>
    <w:rsid w:val="00942D10"/>
    <w:rsid w:val="00942DA7"/>
    <w:rsid w:val="009448CA"/>
    <w:rsid w:val="00955E36"/>
    <w:rsid w:val="00957456"/>
    <w:rsid w:val="00960F79"/>
    <w:rsid w:val="00964FA7"/>
    <w:rsid w:val="00966E44"/>
    <w:rsid w:val="00972627"/>
    <w:rsid w:val="00975B5B"/>
    <w:rsid w:val="009805E8"/>
    <w:rsid w:val="00983595"/>
    <w:rsid w:val="00983B9A"/>
    <w:rsid w:val="00984CCB"/>
    <w:rsid w:val="009874E8"/>
    <w:rsid w:val="009961A6"/>
    <w:rsid w:val="009A00CC"/>
    <w:rsid w:val="009A426B"/>
    <w:rsid w:val="009C1F39"/>
    <w:rsid w:val="009C7CF6"/>
    <w:rsid w:val="009D015B"/>
    <w:rsid w:val="009E1A6C"/>
    <w:rsid w:val="009E2797"/>
    <w:rsid w:val="009E2B32"/>
    <w:rsid w:val="009E374D"/>
    <w:rsid w:val="009F066F"/>
    <w:rsid w:val="00A01115"/>
    <w:rsid w:val="00A018E9"/>
    <w:rsid w:val="00A02C51"/>
    <w:rsid w:val="00A02D23"/>
    <w:rsid w:val="00A05195"/>
    <w:rsid w:val="00A11CD4"/>
    <w:rsid w:val="00A16DEE"/>
    <w:rsid w:val="00A17D1F"/>
    <w:rsid w:val="00A25486"/>
    <w:rsid w:val="00A327DF"/>
    <w:rsid w:val="00A401D7"/>
    <w:rsid w:val="00A52389"/>
    <w:rsid w:val="00A52E4F"/>
    <w:rsid w:val="00A54EFA"/>
    <w:rsid w:val="00A609BF"/>
    <w:rsid w:val="00A7110D"/>
    <w:rsid w:val="00A72456"/>
    <w:rsid w:val="00A73290"/>
    <w:rsid w:val="00A76651"/>
    <w:rsid w:val="00A8555E"/>
    <w:rsid w:val="00A8595A"/>
    <w:rsid w:val="00A92416"/>
    <w:rsid w:val="00A92AC3"/>
    <w:rsid w:val="00AA280F"/>
    <w:rsid w:val="00AA28BB"/>
    <w:rsid w:val="00AA3763"/>
    <w:rsid w:val="00AA5134"/>
    <w:rsid w:val="00AA53DE"/>
    <w:rsid w:val="00AA5D02"/>
    <w:rsid w:val="00AA5EB6"/>
    <w:rsid w:val="00AB13A2"/>
    <w:rsid w:val="00AB27EB"/>
    <w:rsid w:val="00AB3C3A"/>
    <w:rsid w:val="00AB69E4"/>
    <w:rsid w:val="00AB76AC"/>
    <w:rsid w:val="00AB76D2"/>
    <w:rsid w:val="00AC1415"/>
    <w:rsid w:val="00AC5A5C"/>
    <w:rsid w:val="00AC5B77"/>
    <w:rsid w:val="00AC6C19"/>
    <w:rsid w:val="00AC70C2"/>
    <w:rsid w:val="00AD47F3"/>
    <w:rsid w:val="00AD742E"/>
    <w:rsid w:val="00AF0345"/>
    <w:rsid w:val="00AF55A4"/>
    <w:rsid w:val="00AF5B89"/>
    <w:rsid w:val="00AF6F78"/>
    <w:rsid w:val="00B029A9"/>
    <w:rsid w:val="00B04C33"/>
    <w:rsid w:val="00B054C9"/>
    <w:rsid w:val="00B14977"/>
    <w:rsid w:val="00B20E94"/>
    <w:rsid w:val="00B27C24"/>
    <w:rsid w:val="00B324F9"/>
    <w:rsid w:val="00B3257F"/>
    <w:rsid w:val="00B35671"/>
    <w:rsid w:val="00B36E3B"/>
    <w:rsid w:val="00B4277D"/>
    <w:rsid w:val="00B42DA7"/>
    <w:rsid w:val="00B45C10"/>
    <w:rsid w:val="00B460DE"/>
    <w:rsid w:val="00B469B9"/>
    <w:rsid w:val="00B47024"/>
    <w:rsid w:val="00B47397"/>
    <w:rsid w:val="00B500EB"/>
    <w:rsid w:val="00B529C1"/>
    <w:rsid w:val="00B53129"/>
    <w:rsid w:val="00B54B44"/>
    <w:rsid w:val="00B55590"/>
    <w:rsid w:val="00B624A2"/>
    <w:rsid w:val="00B63EC7"/>
    <w:rsid w:val="00B65348"/>
    <w:rsid w:val="00B7018A"/>
    <w:rsid w:val="00B713D7"/>
    <w:rsid w:val="00B72D8A"/>
    <w:rsid w:val="00B74441"/>
    <w:rsid w:val="00B8264A"/>
    <w:rsid w:val="00B879A9"/>
    <w:rsid w:val="00B93C19"/>
    <w:rsid w:val="00B96994"/>
    <w:rsid w:val="00BA1213"/>
    <w:rsid w:val="00BA335D"/>
    <w:rsid w:val="00BA5728"/>
    <w:rsid w:val="00BB04CD"/>
    <w:rsid w:val="00BB0DA5"/>
    <w:rsid w:val="00BB3C25"/>
    <w:rsid w:val="00BC424E"/>
    <w:rsid w:val="00BC4E07"/>
    <w:rsid w:val="00BC4EEB"/>
    <w:rsid w:val="00BC57EA"/>
    <w:rsid w:val="00BC6E48"/>
    <w:rsid w:val="00BC7711"/>
    <w:rsid w:val="00BD0A4C"/>
    <w:rsid w:val="00BD10C9"/>
    <w:rsid w:val="00BD21DD"/>
    <w:rsid w:val="00BD35C6"/>
    <w:rsid w:val="00BD457F"/>
    <w:rsid w:val="00BD4779"/>
    <w:rsid w:val="00BD6067"/>
    <w:rsid w:val="00BD7123"/>
    <w:rsid w:val="00BD7D08"/>
    <w:rsid w:val="00BE204C"/>
    <w:rsid w:val="00BE38B4"/>
    <w:rsid w:val="00BE484C"/>
    <w:rsid w:val="00BF2E51"/>
    <w:rsid w:val="00BF409D"/>
    <w:rsid w:val="00BF752B"/>
    <w:rsid w:val="00C00B32"/>
    <w:rsid w:val="00C03882"/>
    <w:rsid w:val="00C04EDE"/>
    <w:rsid w:val="00C105C0"/>
    <w:rsid w:val="00C15601"/>
    <w:rsid w:val="00C21493"/>
    <w:rsid w:val="00C30AAF"/>
    <w:rsid w:val="00C316D5"/>
    <w:rsid w:val="00C32E5B"/>
    <w:rsid w:val="00C34519"/>
    <w:rsid w:val="00C44CC4"/>
    <w:rsid w:val="00C44D3D"/>
    <w:rsid w:val="00C456AC"/>
    <w:rsid w:val="00C46486"/>
    <w:rsid w:val="00C47445"/>
    <w:rsid w:val="00C52258"/>
    <w:rsid w:val="00C5271D"/>
    <w:rsid w:val="00C5323C"/>
    <w:rsid w:val="00C57123"/>
    <w:rsid w:val="00C60927"/>
    <w:rsid w:val="00C61542"/>
    <w:rsid w:val="00C67592"/>
    <w:rsid w:val="00C75CC1"/>
    <w:rsid w:val="00C84068"/>
    <w:rsid w:val="00C85527"/>
    <w:rsid w:val="00C87EA1"/>
    <w:rsid w:val="00C91123"/>
    <w:rsid w:val="00C91C66"/>
    <w:rsid w:val="00C94D59"/>
    <w:rsid w:val="00C96724"/>
    <w:rsid w:val="00C96758"/>
    <w:rsid w:val="00CA3D3E"/>
    <w:rsid w:val="00CA64ED"/>
    <w:rsid w:val="00CB2490"/>
    <w:rsid w:val="00CB28BC"/>
    <w:rsid w:val="00CB5950"/>
    <w:rsid w:val="00CB5A28"/>
    <w:rsid w:val="00CB7DBA"/>
    <w:rsid w:val="00CB7E44"/>
    <w:rsid w:val="00CC168A"/>
    <w:rsid w:val="00CC18FC"/>
    <w:rsid w:val="00CC4756"/>
    <w:rsid w:val="00CD3B21"/>
    <w:rsid w:val="00CE5BFE"/>
    <w:rsid w:val="00CF03A6"/>
    <w:rsid w:val="00CF6310"/>
    <w:rsid w:val="00CF6BBF"/>
    <w:rsid w:val="00D00E1D"/>
    <w:rsid w:val="00D01E85"/>
    <w:rsid w:val="00D0368B"/>
    <w:rsid w:val="00D03D6B"/>
    <w:rsid w:val="00D04C1D"/>
    <w:rsid w:val="00D063CC"/>
    <w:rsid w:val="00D1009B"/>
    <w:rsid w:val="00D112B9"/>
    <w:rsid w:val="00D15DE0"/>
    <w:rsid w:val="00D20918"/>
    <w:rsid w:val="00D20D0C"/>
    <w:rsid w:val="00D22267"/>
    <w:rsid w:val="00D22587"/>
    <w:rsid w:val="00D25637"/>
    <w:rsid w:val="00D27984"/>
    <w:rsid w:val="00D36EEC"/>
    <w:rsid w:val="00D471A1"/>
    <w:rsid w:val="00D4739C"/>
    <w:rsid w:val="00D54D21"/>
    <w:rsid w:val="00D57E08"/>
    <w:rsid w:val="00D6233B"/>
    <w:rsid w:val="00D63B45"/>
    <w:rsid w:val="00D71579"/>
    <w:rsid w:val="00D720FF"/>
    <w:rsid w:val="00D7251D"/>
    <w:rsid w:val="00D815B5"/>
    <w:rsid w:val="00D901B8"/>
    <w:rsid w:val="00D939A0"/>
    <w:rsid w:val="00D95043"/>
    <w:rsid w:val="00D95695"/>
    <w:rsid w:val="00DA3421"/>
    <w:rsid w:val="00DA38DB"/>
    <w:rsid w:val="00DA5A07"/>
    <w:rsid w:val="00DA771D"/>
    <w:rsid w:val="00DC10F0"/>
    <w:rsid w:val="00DD0575"/>
    <w:rsid w:val="00DD14E2"/>
    <w:rsid w:val="00DE1861"/>
    <w:rsid w:val="00DE388D"/>
    <w:rsid w:val="00DE400C"/>
    <w:rsid w:val="00DF74A7"/>
    <w:rsid w:val="00E04650"/>
    <w:rsid w:val="00E05486"/>
    <w:rsid w:val="00E05CA5"/>
    <w:rsid w:val="00E069A7"/>
    <w:rsid w:val="00E1541D"/>
    <w:rsid w:val="00E16FCF"/>
    <w:rsid w:val="00E211F1"/>
    <w:rsid w:val="00E24FB7"/>
    <w:rsid w:val="00E267CD"/>
    <w:rsid w:val="00E32A53"/>
    <w:rsid w:val="00E337EB"/>
    <w:rsid w:val="00E34B10"/>
    <w:rsid w:val="00E3515C"/>
    <w:rsid w:val="00E429D1"/>
    <w:rsid w:val="00E43A2B"/>
    <w:rsid w:val="00E44205"/>
    <w:rsid w:val="00E44983"/>
    <w:rsid w:val="00E466A2"/>
    <w:rsid w:val="00E47E2B"/>
    <w:rsid w:val="00E51922"/>
    <w:rsid w:val="00E51BD9"/>
    <w:rsid w:val="00E52EF3"/>
    <w:rsid w:val="00E54448"/>
    <w:rsid w:val="00E54D9F"/>
    <w:rsid w:val="00E56B85"/>
    <w:rsid w:val="00E601DD"/>
    <w:rsid w:val="00E633A3"/>
    <w:rsid w:val="00E65909"/>
    <w:rsid w:val="00E667C9"/>
    <w:rsid w:val="00E72A0F"/>
    <w:rsid w:val="00E84A8D"/>
    <w:rsid w:val="00E923DA"/>
    <w:rsid w:val="00E92B30"/>
    <w:rsid w:val="00E94B5E"/>
    <w:rsid w:val="00EA27FA"/>
    <w:rsid w:val="00EA3E35"/>
    <w:rsid w:val="00EA7932"/>
    <w:rsid w:val="00EC0AED"/>
    <w:rsid w:val="00EC1DCD"/>
    <w:rsid w:val="00EC5396"/>
    <w:rsid w:val="00EC6881"/>
    <w:rsid w:val="00ED36D1"/>
    <w:rsid w:val="00ED5BF4"/>
    <w:rsid w:val="00EE2346"/>
    <w:rsid w:val="00EE3CA5"/>
    <w:rsid w:val="00EF2C86"/>
    <w:rsid w:val="00EF74DD"/>
    <w:rsid w:val="00EF7C0B"/>
    <w:rsid w:val="00EF7CF1"/>
    <w:rsid w:val="00F03AD3"/>
    <w:rsid w:val="00F10AF3"/>
    <w:rsid w:val="00F1282C"/>
    <w:rsid w:val="00F129B2"/>
    <w:rsid w:val="00F203E5"/>
    <w:rsid w:val="00F2279A"/>
    <w:rsid w:val="00F23CF9"/>
    <w:rsid w:val="00F2404F"/>
    <w:rsid w:val="00F31570"/>
    <w:rsid w:val="00F324CE"/>
    <w:rsid w:val="00F468FD"/>
    <w:rsid w:val="00F47B8A"/>
    <w:rsid w:val="00F54A5D"/>
    <w:rsid w:val="00F5760B"/>
    <w:rsid w:val="00F61564"/>
    <w:rsid w:val="00F63D67"/>
    <w:rsid w:val="00F6484F"/>
    <w:rsid w:val="00F661A6"/>
    <w:rsid w:val="00F70D77"/>
    <w:rsid w:val="00F71EA0"/>
    <w:rsid w:val="00F72B6B"/>
    <w:rsid w:val="00F72BD9"/>
    <w:rsid w:val="00F7506C"/>
    <w:rsid w:val="00F767E2"/>
    <w:rsid w:val="00F76A1A"/>
    <w:rsid w:val="00F820BE"/>
    <w:rsid w:val="00F82BF3"/>
    <w:rsid w:val="00F842A8"/>
    <w:rsid w:val="00F9251E"/>
    <w:rsid w:val="00F925D4"/>
    <w:rsid w:val="00FA0656"/>
    <w:rsid w:val="00FA19C2"/>
    <w:rsid w:val="00FA7C05"/>
    <w:rsid w:val="00FB1434"/>
    <w:rsid w:val="00FB1C42"/>
    <w:rsid w:val="00FB1DB3"/>
    <w:rsid w:val="00FB23EC"/>
    <w:rsid w:val="00FB7932"/>
    <w:rsid w:val="00FC1D60"/>
    <w:rsid w:val="00FC25D6"/>
    <w:rsid w:val="00FC2DF1"/>
    <w:rsid w:val="00FC540B"/>
    <w:rsid w:val="00FC7563"/>
    <w:rsid w:val="00FC7FDB"/>
    <w:rsid w:val="00FD0328"/>
    <w:rsid w:val="00FD5A04"/>
    <w:rsid w:val="00FD65F0"/>
    <w:rsid w:val="00FE14B5"/>
    <w:rsid w:val="00FE26C0"/>
    <w:rsid w:val="00FE4F64"/>
    <w:rsid w:val="00FE6E8D"/>
    <w:rsid w:val="00FF1026"/>
    <w:rsid w:val="00FF5CC0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260151-0E76-4C44-B28B-5780BC3C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07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930452"/>
    <w:pPr>
      <w:ind w:left="720"/>
      <w:contextualSpacing/>
    </w:pPr>
  </w:style>
  <w:style w:type="character" w:customStyle="1" w:styleId="product-attr">
    <w:name w:val="product-attr"/>
    <w:basedOn w:val="DefaultParagraphFont"/>
    <w:rsid w:val="00281EB5"/>
  </w:style>
  <w:style w:type="character" w:styleId="Hyperlink">
    <w:name w:val="Hyperlink"/>
    <w:basedOn w:val="DefaultParagraphFont"/>
    <w:uiPriority w:val="99"/>
    <w:unhideWhenUsed/>
    <w:rsid w:val="00E43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ton.tota@ubt-uni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97F0C-4734-40BB-89D9-76BD931A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1613</Words>
  <Characters>9023</Characters>
  <Application>Microsoft Office Word</Application>
  <DocSecurity>0</DocSecurity>
  <Lines>273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account</cp:lastModifiedBy>
  <cp:revision>2</cp:revision>
  <dcterms:created xsi:type="dcterms:W3CDTF">2023-01-19T13:56:00Z</dcterms:created>
  <dcterms:modified xsi:type="dcterms:W3CDTF">2023-01-19T13:56:00Z</dcterms:modified>
</cp:coreProperties>
</file>