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E8FB" w14:textId="77777777" w:rsidR="000819A7" w:rsidRPr="00BF0E86" w:rsidRDefault="000819A7" w:rsidP="00BF0E86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51"/>
        <w:gridCol w:w="3445"/>
        <w:gridCol w:w="1163"/>
        <w:gridCol w:w="1338"/>
        <w:gridCol w:w="1673"/>
      </w:tblGrid>
      <w:tr w:rsidR="00605CEC" w:rsidRPr="00F84DDE" w14:paraId="672FB845" w14:textId="77777777" w:rsidTr="004C4EBB"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4A0B08F" w14:textId="77777777" w:rsidR="00605CEC" w:rsidRPr="00F84DDE" w:rsidRDefault="00236CE5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  <w:p w14:paraId="53A253D0" w14:textId="77777777" w:rsidR="00605CEC" w:rsidRPr="00F84DDE" w:rsidRDefault="00605CEC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FFA0F74" w14:textId="48BD4F59" w:rsidR="00692C02" w:rsidRPr="00F84DDE" w:rsidRDefault="00DC7E22" w:rsidP="00605C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7E22">
              <w:rPr>
                <w:rFonts w:ascii="Tahoma" w:hAnsi="Tahoma" w:cs="Tahoma"/>
                <w:b/>
                <w:sz w:val="20"/>
                <w:szCs w:val="20"/>
              </w:rPr>
              <w:t>Legal Clinic (Penal law)</w:t>
            </w:r>
          </w:p>
        </w:tc>
      </w:tr>
      <w:tr w:rsidR="00210AEF" w:rsidRPr="00F84DDE" w14:paraId="1251CFD2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CBD14E5" w14:textId="77777777" w:rsidR="00210AEF" w:rsidRPr="00F84DDE" w:rsidRDefault="00210AEF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D76942" w14:textId="77777777" w:rsidR="00210AEF" w:rsidRPr="00F84DDE" w:rsidRDefault="00236CE5" w:rsidP="0021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Type</w:t>
            </w:r>
          </w:p>
          <w:p w14:paraId="1EEE018A" w14:textId="77777777" w:rsidR="00210AEF" w:rsidRPr="00F84DDE" w:rsidRDefault="00210AEF" w:rsidP="000C6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BDC8A7" w14:textId="77777777" w:rsidR="00210AEF" w:rsidRPr="00F84DDE" w:rsidRDefault="00236CE5" w:rsidP="000C6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Semester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76704" w14:textId="77777777" w:rsidR="00210AEF" w:rsidRPr="00F84DDE" w:rsidRDefault="00210AEF" w:rsidP="000C6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ECTS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7CEB5" w14:textId="77777777" w:rsidR="00210AEF" w:rsidRPr="00F84DDE" w:rsidRDefault="00236CE5" w:rsidP="000C6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Code</w:t>
            </w:r>
          </w:p>
        </w:tc>
      </w:tr>
      <w:tr w:rsidR="00210AEF" w:rsidRPr="00F84DDE" w14:paraId="1EE523A5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79E6B80" w14:textId="77777777" w:rsidR="00210AEF" w:rsidRPr="00F84DDE" w:rsidRDefault="00210AEF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38F00E4" w14:textId="10CFA507" w:rsidR="00210AEF" w:rsidRPr="00F84DDE" w:rsidRDefault="008D4093" w:rsidP="000C6A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ELECTIVE</w:t>
            </w:r>
            <w:r w:rsidR="003B38B9" w:rsidRPr="00F84DD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B47EA">
              <w:rPr>
                <w:rFonts w:ascii="Tahoma" w:hAnsi="Tahoma" w:cs="Tahoma"/>
                <w:sz w:val="20"/>
                <w:szCs w:val="20"/>
              </w:rPr>
              <w:t>E</w:t>
            </w:r>
            <w:r w:rsidR="00210AEF" w:rsidRPr="00F84DD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021FA2D" w14:textId="77777777" w:rsidR="00210AEF" w:rsidRPr="00F84DDE" w:rsidRDefault="00210AEF" w:rsidP="000C6AB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8777E7" w14:textId="2D1C50B6" w:rsidR="00210AEF" w:rsidRPr="00F84DDE" w:rsidRDefault="008D4093" w:rsidP="000C6AB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0F8D71" w14:textId="74798ABE" w:rsidR="00210AEF" w:rsidRPr="00F84DDE" w:rsidRDefault="00B47BD7" w:rsidP="000C6AB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20E8D" w14:textId="0E1EC1A5" w:rsidR="00210AEF" w:rsidRPr="00F84DDE" w:rsidRDefault="004B47EA" w:rsidP="000C6AB8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Law-B-</w:t>
            </w:r>
            <w:r w:rsidR="005852C6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044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-E </w:t>
            </w:r>
          </w:p>
        </w:tc>
      </w:tr>
      <w:tr w:rsidR="00605CEC" w:rsidRPr="00F84DDE" w14:paraId="6818C332" w14:textId="77777777" w:rsidTr="004C4EBB">
        <w:trPr>
          <w:trHeight w:hRule="exact" w:val="288"/>
        </w:trPr>
        <w:tc>
          <w:tcPr>
            <w:tcW w:w="2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7954469" w14:textId="77777777" w:rsidR="00605CEC" w:rsidRPr="00F84DDE" w:rsidRDefault="00236CE5" w:rsidP="00C1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Lecturer</w:t>
            </w: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46E5753" w14:textId="2EA36B13" w:rsidR="00605CEC" w:rsidRPr="00F84DDE" w:rsidRDefault="005852C6" w:rsidP="009428D7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Florim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Shefqeti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LLM </w:t>
            </w:r>
          </w:p>
        </w:tc>
      </w:tr>
      <w:tr w:rsidR="00605CEC" w:rsidRPr="00F84DDE" w14:paraId="2778D91E" w14:textId="77777777" w:rsidTr="004C4EBB">
        <w:trPr>
          <w:trHeight w:hRule="exact" w:val="288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055046" w14:textId="77777777" w:rsidR="00605CEC" w:rsidRPr="00F84DDE" w:rsidRDefault="00236CE5" w:rsidP="00C1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Assistant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BE5519C" w14:textId="77777777" w:rsidR="00605CEC" w:rsidRPr="00F84DDE" w:rsidRDefault="00605CEC" w:rsidP="009428D7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F84DDE" w14:paraId="08FDA949" w14:textId="77777777" w:rsidTr="004C4EBB">
        <w:trPr>
          <w:trHeight w:hRule="exact" w:val="288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622E08B9" w14:textId="77777777" w:rsidR="00605CEC" w:rsidRPr="00F84DDE" w:rsidRDefault="00236CE5" w:rsidP="00C114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Tutor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17D39" w14:textId="77777777" w:rsidR="00605CEC" w:rsidRPr="00F84DDE" w:rsidRDefault="00605CEC" w:rsidP="009428D7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</w:tr>
      <w:tr w:rsidR="00605CEC" w:rsidRPr="00F84DDE" w14:paraId="09D3FD33" w14:textId="77777777" w:rsidTr="004C4EBB">
        <w:trPr>
          <w:trHeight w:val="2096"/>
        </w:trPr>
        <w:tc>
          <w:tcPr>
            <w:tcW w:w="2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06540421" w14:textId="77777777" w:rsidR="00605CEC" w:rsidRPr="00F84DDE" w:rsidRDefault="00236CE5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Aims and Objectives</w:t>
            </w: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A1FD7" w14:textId="77777777" w:rsidR="00092270" w:rsidRDefault="00092270" w:rsidP="007A3C57">
            <w:pPr>
              <w:pStyle w:val="NoSpacing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</w:p>
          <w:p w14:paraId="602F18B7" w14:textId="6CF58123" w:rsidR="007A3C57" w:rsidRPr="00262201" w:rsidRDefault="00092270" w:rsidP="00CE2508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This course is a one-</w:t>
            </w:r>
            <w:proofErr w:type="spellStart"/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semestral</w:t>
            </w:r>
            <w:proofErr w:type="spellEnd"/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program of practical perfor</w:t>
            </w:r>
            <w:r w:rsidR="005852C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mance of the findings from the civil</w:t>
            </w:r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cases. In this course students will apply previously acquired knowledge in specific </w:t>
            </w:r>
            <w:r w:rsidR="005852C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civil</w:t>
            </w:r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cases which will work under the supervision of the subject teacher and under the supe</w:t>
            </w:r>
            <w:r w:rsidR="00CE250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rvision of a</w:t>
            </w:r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lawyer that will work together on concrete lighter cases and assist in the preparation of acts and undertaking other preparatory process act</w:t>
            </w:r>
            <w:r w:rsidR="00F402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ivities. They shall remind the civil case</w:t>
            </w:r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matter and will also </w:t>
            </w:r>
            <w:proofErr w:type="spellStart"/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analyze</w:t>
            </w:r>
            <w:proofErr w:type="spellEnd"/>
            <w:r w:rsidRPr="0054199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sources from other countries working in legal clinics</w:t>
            </w:r>
            <w:r w:rsidRPr="00092270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05CEC" w:rsidRPr="00F84DDE" w14:paraId="752D7A90" w14:textId="77777777" w:rsidTr="00995E07">
        <w:trPr>
          <w:trHeight w:val="1682"/>
        </w:trPr>
        <w:tc>
          <w:tcPr>
            <w:tcW w:w="2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4A54367" w14:textId="77777777" w:rsidR="00605CEC" w:rsidRPr="00F84DDE" w:rsidRDefault="00236CE5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Learning Outcomes</w:t>
            </w: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715AA" w14:textId="77777777" w:rsidR="007A3C57" w:rsidRDefault="007A3C57" w:rsidP="00995E07">
            <w:pPr>
              <w:pStyle w:val="NoSpacing"/>
              <w:spacing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14:paraId="1432F909" w14:textId="2B0521C8" w:rsidR="002445B2" w:rsidRDefault="00CF565C" w:rsidP="002445B2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Demonstrates an understanding of</w:t>
            </w:r>
            <w:r w:rsidR="002445B2" w:rsidRPr="002445B2">
              <w:rPr>
                <w:rFonts w:ascii="Tahoma" w:hAnsi="Tahoma" w:cs="Tahoma"/>
                <w:sz w:val="20"/>
                <w:szCs w:val="20"/>
              </w:rPr>
              <w:t xml:space="preserve"> more complex problems in the area of </w:t>
            </w:r>
            <w:r w:rsidR="002008E3">
              <w:rPr>
                <w:rFonts w:ascii="Tahoma" w:hAnsi="Tahoma" w:cs="Tahoma"/>
                <w:sz w:val="20"/>
                <w:szCs w:val="20"/>
              </w:rPr>
              <w:t>civil</w:t>
            </w:r>
            <w:r w:rsidR="002445B2" w:rsidRPr="002445B2">
              <w:rPr>
                <w:rFonts w:ascii="Tahoma" w:hAnsi="Tahoma" w:cs="Tahoma"/>
                <w:sz w:val="20"/>
                <w:szCs w:val="20"/>
              </w:rPr>
              <w:t xml:space="preserve"> law and procedure, thus can take active part in all the stages of a </w:t>
            </w:r>
            <w:r w:rsidR="002008E3">
              <w:rPr>
                <w:rFonts w:ascii="Tahoma" w:hAnsi="Tahoma" w:cs="Tahoma"/>
                <w:sz w:val="20"/>
                <w:szCs w:val="20"/>
              </w:rPr>
              <w:t xml:space="preserve">civil </w:t>
            </w:r>
            <w:r w:rsidR="002445B2" w:rsidRPr="002445B2">
              <w:rPr>
                <w:rFonts w:ascii="Tahoma" w:hAnsi="Tahoma" w:cs="Tahoma"/>
                <w:sz w:val="20"/>
                <w:szCs w:val="20"/>
              </w:rPr>
              <w:t xml:space="preserve">procedure as well as can interpret advanced issues of the </w:t>
            </w:r>
            <w:r w:rsidR="002008E3">
              <w:rPr>
                <w:rFonts w:ascii="Tahoma" w:hAnsi="Tahoma" w:cs="Tahoma"/>
                <w:sz w:val="20"/>
                <w:szCs w:val="20"/>
              </w:rPr>
              <w:t>civil code</w:t>
            </w:r>
            <w:r w:rsidR="002445B2" w:rsidRPr="002445B2">
              <w:rPr>
                <w:rFonts w:ascii="Tahoma" w:hAnsi="Tahoma" w:cs="Tahoma"/>
                <w:sz w:val="20"/>
                <w:szCs w:val="20"/>
              </w:rPr>
              <w:t xml:space="preserve"> legislation.</w:t>
            </w:r>
          </w:p>
          <w:p w14:paraId="029F0A55" w14:textId="2F0629C7" w:rsidR="00092270" w:rsidRDefault="005F1F41" w:rsidP="00995E0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Apply and implement the gained knowledge in </w:t>
            </w:r>
            <w:proofErr w:type="spellStart"/>
            <w:r w:rsidR="00103B90">
              <w:rPr>
                <w:rFonts w:ascii="Tahoma" w:hAnsi="Tahoma" w:cs="Tahoma"/>
                <w:sz w:val="20"/>
                <w:szCs w:val="20"/>
              </w:rPr>
              <w:t>civil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law for a mock in order to participate in a trial case</w:t>
            </w:r>
            <w:r w:rsidR="00092270" w:rsidRPr="00092270">
              <w:rPr>
                <w:rFonts w:ascii="Tahoma" w:hAnsi="Tahoma" w:cs="Tahoma"/>
                <w:sz w:val="20"/>
                <w:szCs w:val="20"/>
              </w:rPr>
              <w:t xml:space="preserve"> effectively and efficiently</w:t>
            </w:r>
            <w:r w:rsidR="00092270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  <w:p w14:paraId="27059815" w14:textId="3551E71F" w:rsidR="00092270" w:rsidRDefault="00724302" w:rsidP="00995E07">
            <w:pPr>
              <w:pStyle w:val="NoSpacing"/>
              <w:numPr>
                <w:ilvl w:val="0"/>
                <w:numId w:val="2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how to effectively</w:t>
            </w:r>
            <w:r w:rsidR="00092270" w:rsidRPr="00092270">
              <w:rPr>
                <w:rFonts w:ascii="Tahoma" w:hAnsi="Tahoma" w:cs="Tahoma"/>
                <w:sz w:val="20"/>
                <w:szCs w:val="20"/>
              </w:rPr>
              <w:t xml:space="preserve"> argue </w:t>
            </w:r>
            <w:r w:rsidR="00B66D55">
              <w:rPr>
                <w:rFonts w:ascii="Tahoma" w:hAnsi="Tahoma" w:cs="Tahoma"/>
                <w:sz w:val="20"/>
                <w:szCs w:val="20"/>
              </w:rPr>
              <w:t>in a civil litigation</w:t>
            </w:r>
            <w:r w:rsidR="0009227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CA44665" w14:textId="2EF7BA41" w:rsidR="00092270" w:rsidRPr="002445B2" w:rsidRDefault="005D02BC" w:rsidP="00F450C6">
            <w:pPr>
              <w:pStyle w:val="NoSpacing"/>
              <w:numPr>
                <w:ilvl w:val="0"/>
                <w:numId w:val="23"/>
              </w:num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Summarize a judicial decision from the field of </w:t>
            </w:r>
            <w:r w:rsidR="00F450C6">
              <w:rPr>
                <w:rFonts w:ascii="Tahoma" w:hAnsi="Tahoma" w:cs="Tahoma"/>
                <w:sz w:val="20"/>
                <w:szCs w:val="20"/>
              </w:rPr>
              <w:t>civil law</w:t>
            </w:r>
            <w:r w:rsidR="00092270" w:rsidRPr="0009227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605CEC" w:rsidRPr="00F84DDE" w14:paraId="614EA2A8" w14:textId="77777777" w:rsidTr="0054199E">
        <w:trPr>
          <w:trHeight w:hRule="exact" w:val="288"/>
        </w:trPr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CC3D97A" w14:textId="77777777" w:rsidR="00605CEC" w:rsidRPr="00F84DDE" w:rsidRDefault="00236CE5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Content</w:t>
            </w:r>
          </w:p>
        </w:tc>
        <w:tc>
          <w:tcPr>
            <w:tcW w:w="5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AFE34" w14:textId="77777777" w:rsidR="00605CEC" w:rsidRPr="00F84DDE" w:rsidRDefault="00236CE5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Plan</w:t>
            </w:r>
          </w:p>
        </w:tc>
        <w:tc>
          <w:tcPr>
            <w:tcW w:w="167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976E57B" w14:textId="77777777" w:rsidR="00605CEC" w:rsidRPr="00F84DDE" w:rsidRDefault="00236CE5" w:rsidP="000C6A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</w:tr>
      <w:tr w:rsidR="00855721" w:rsidRPr="00F84DDE" w14:paraId="5EF84CC0" w14:textId="77777777" w:rsidTr="000A3F19">
        <w:trPr>
          <w:trHeight w:hRule="exact" w:val="252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0C2F45B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4FB0E" w14:textId="6716A228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Introduction to civil procedure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C04A8A" w14:textId="45EEE3CE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855721" w:rsidRPr="00F84DDE" w14:paraId="1660C7F3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A53990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E4505" w14:textId="1D45D194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Principles and rules of the Procedure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CAA676" w14:textId="1CE693EF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855721" w:rsidRPr="00F84DDE" w14:paraId="6B20AFC6" w14:textId="77777777" w:rsidTr="000A3F19">
        <w:trPr>
          <w:trHeight w:hRule="exact" w:val="252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E368E8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C4587" w14:textId="4CC60242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Initiation of civil procedure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441D30" w14:textId="484E9483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855721" w:rsidRPr="00F84DDE" w14:paraId="74D117F9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0042A00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34A7F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Preliminary review of the lawsuit</w:t>
            </w:r>
          </w:p>
          <w:p w14:paraId="1ACC3192" w14:textId="09A43072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967346" w14:textId="33FBC045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855721" w:rsidRPr="00F84DDE" w14:paraId="3521F0D1" w14:textId="77777777" w:rsidTr="0054199E">
        <w:trPr>
          <w:trHeight w:hRule="exact" w:val="342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491999B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E8363" w14:textId="52287A50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Merging lawsuits and procedural subjects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7C329A9" w14:textId="0EAA6262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855721" w:rsidRPr="00F84DDE" w14:paraId="2FC6FEFB" w14:textId="77777777" w:rsidTr="0054199E">
        <w:trPr>
          <w:trHeight w:hRule="exact" w:val="261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2205325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A11B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Involvement of the third party in contested procedure</w:t>
            </w:r>
          </w:p>
          <w:p w14:paraId="071A7097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</w:p>
          <w:p w14:paraId="1C5DF400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procedure </w:t>
            </w:r>
            <w:r w:rsidRPr="00687434">
              <w:rPr>
                <w:rFonts w:ascii="Arial" w:hAnsi="Arial" w:cs="Arial"/>
                <w:sz w:val="17"/>
                <w:szCs w:val="17"/>
              </w:rPr>
              <w:br/>
              <w:t>contentious procedure</w:t>
            </w:r>
          </w:p>
          <w:p w14:paraId="5B665EBE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br/>
              <w:t>contentious procedure</w:t>
            </w:r>
          </w:p>
          <w:p w14:paraId="5D22AEBF" w14:textId="398D0B77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696BC6A" w14:textId="16786D0F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855721" w:rsidRPr="00F84DDE" w14:paraId="0944D3A0" w14:textId="77777777" w:rsidTr="0054199E">
        <w:trPr>
          <w:trHeight w:hRule="exact" w:val="276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030C02C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57599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In contentious procedure </w:t>
            </w:r>
          </w:p>
          <w:p w14:paraId="69491B6B" w14:textId="24FCA4A8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ADC3FF" w14:textId="2C5C005C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855721" w:rsidRPr="00F84DDE" w14:paraId="2A786E98" w14:textId="77777777" w:rsidTr="0054199E">
        <w:trPr>
          <w:trHeight w:hRule="exact" w:val="261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0774744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504B0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Preliminary Hearing </w:t>
            </w:r>
          </w:p>
          <w:p w14:paraId="1DD18BD6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</w:p>
          <w:p w14:paraId="0AEE578E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</w:p>
          <w:p w14:paraId="6AF5C0A3" w14:textId="74A188A6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Tax system in the Republic of Kosovo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EC0B3F" w14:textId="5F312515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855721" w:rsidRPr="00F84DDE" w14:paraId="76DC8F4C" w14:textId="77777777" w:rsidTr="0054199E">
        <w:trPr>
          <w:trHeight w:hRule="exact" w:val="30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93776B0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2F478" w14:textId="77777777" w:rsidR="00855721" w:rsidRPr="00687434" w:rsidRDefault="00855721" w:rsidP="00855721">
            <w:pPr>
              <w:rPr>
                <w:rFonts w:ascii="Arial" w:hAnsi="Arial" w:cs="Arial"/>
                <w:sz w:val="17"/>
                <w:szCs w:val="17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Insuring the charge claim. </w:t>
            </w:r>
          </w:p>
          <w:p w14:paraId="0FD123FE" w14:textId="621993CE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                          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5E89E2" w14:textId="1021516A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855721" w:rsidRPr="00F84DDE" w14:paraId="556FCDBF" w14:textId="77777777" w:rsidTr="0054199E">
        <w:trPr>
          <w:trHeight w:hRule="exact" w:val="324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6723B8B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2EA62" w14:textId="64D08D68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Completion of the contentious procedure.                            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C695DB" w14:textId="02938D5D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855721" w:rsidRPr="00F84DDE" w14:paraId="22E65C9E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D34F466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0C8FE" w14:textId="11E870FF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 xml:space="preserve">Principles and rules of the Procedure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7B8D3E" w14:textId="482DFD2B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855721" w:rsidRPr="00F84DDE" w14:paraId="1DD168E2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A7BCBBF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460FC" w14:textId="325816D5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Critical review of court case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499477" w14:textId="16B3A767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855721" w:rsidRPr="00F84DDE" w14:paraId="536D1436" w14:textId="77777777" w:rsidTr="0054199E">
        <w:trPr>
          <w:trHeight w:hRule="exact" w:val="243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5B15CCE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1EEE1" w14:textId="68824318" w:rsidR="00855721" w:rsidRPr="00F84DDE" w:rsidRDefault="00C75860" w:rsidP="008557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Judicial decision in civil litigation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C75EF5F" w14:textId="6A491F56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855721" w:rsidRPr="00F84DDE" w14:paraId="224BB561" w14:textId="77777777" w:rsidTr="0054199E">
        <w:trPr>
          <w:trHeight w:hRule="exact" w:val="261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AAD37DB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4970B" w14:textId="5BBD327F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Mock trial simulation team work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C63233E" w14:textId="39774FE2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855721" w:rsidRPr="00F84DDE" w14:paraId="4B9E76CB" w14:textId="77777777" w:rsidTr="0054199E">
        <w:trPr>
          <w:trHeight w:hRule="exact" w:val="288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D7A0907" w14:textId="77777777" w:rsidR="00855721" w:rsidRPr="00F84DDE" w:rsidRDefault="00855721" w:rsidP="00855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B9339F" w14:textId="0E287EAD" w:rsidR="00855721" w:rsidRPr="00F84DDE" w:rsidRDefault="00855721" w:rsidP="00855721">
            <w:pPr>
              <w:rPr>
                <w:rFonts w:ascii="Tahoma" w:hAnsi="Tahoma" w:cs="Tahoma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Case study final examination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FE520D" w14:textId="399E0538" w:rsidR="00855721" w:rsidRPr="00F84DDE" w:rsidRDefault="00855721" w:rsidP="00855721">
            <w:pPr>
              <w:jc w:val="center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687434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1F2EF3" w:rsidRPr="00F84DDE" w14:paraId="07167AD2" w14:textId="77777777" w:rsidTr="0054199E">
        <w:trPr>
          <w:trHeight w:hRule="exact" w:val="288"/>
        </w:trPr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9401AD2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B51B24B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31D671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Teaching/Learning Methods</w:t>
            </w:r>
          </w:p>
        </w:tc>
        <w:tc>
          <w:tcPr>
            <w:tcW w:w="5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C75CE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Teaching/Learning Activity</w:t>
            </w:r>
          </w:p>
        </w:tc>
        <w:tc>
          <w:tcPr>
            <w:tcW w:w="167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24047FC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Weight (%)</w:t>
            </w:r>
          </w:p>
        </w:tc>
      </w:tr>
      <w:tr w:rsidR="001F2EF3" w:rsidRPr="00F84DDE" w14:paraId="520E514B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4728FD4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45AB5" w14:textId="77777777" w:rsidR="001F2EF3" w:rsidRPr="00F84DDE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Lectures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418AF6A" w14:textId="0B7660D0" w:rsidR="001F2EF3" w:rsidRPr="00F84DDE" w:rsidRDefault="0054199E" w:rsidP="008D5C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  <w:r w:rsidR="00585E57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F2EF3" w:rsidRPr="00F84DDE" w14:paraId="5C2C9CA9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8C751B5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66FE2" w14:textId="77777777" w:rsidR="001F2EF3" w:rsidRPr="00F84DDE" w:rsidRDefault="00585E57" w:rsidP="009428D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 xml:space="preserve">Case studies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4F16DB" w14:textId="7938AA35" w:rsidR="001F2EF3" w:rsidRPr="00F84DDE" w:rsidRDefault="00097AA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54199E">
              <w:rPr>
                <w:rFonts w:ascii="Tahoma" w:hAnsi="Tahoma" w:cs="Tahoma"/>
                <w:sz w:val="20"/>
                <w:szCs w:val="20"/>
              </w:rPr>
              <w:t>0</w:t>
            </w:r>
            <w:r w:rsidR="00585E57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F2EF3" w:rsidRPr="00F84DDE" w14:paraId="61E3A03E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682D5B6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D8A8C" w14:textId="3162747A" w:rsidR="001F2EF3" w:rsidRPr="00F84DDE" w:rsidRDefault="001F2EF3" w:rsidP="009428D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Study visits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C8F81F" w14:textId="03F1FCE7" w:rsidR="001F2EF3" w:rsidRPr="00F84DDE" w:rsidRDefault="0054199E" w:rsidP="008D5C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85E57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F2EF3" w:rsidRPr="00F84DDE" w14:paraId="25D7A3D0" w14:textId="77777777" w:rsidTr="0054199E">
        <w:trPr>
          <w:trHeight w:hRule="exact" w:val="711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4874256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B0FB17C" w14:textId="48A127D1" w:rsidR="00097AA6" w:rsidRPr="00D7366E" w:rsidRDefault="00D7366E" w:rsidP="001D51E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D7366E">
              <w:rPr>
                <w:rFonts w:ascii="Tahoma" w:hAnsi="Tahoma" w:cs="Tahoma"/>
                <w:sz w:val="20"/>
                <w:szCs w:val="20"/>
              </w:rPr>
              <w:t xml:space="preserve">Drafting, </w:t>
            </w:r>
            <w:r w:rsidR="00097AA6" w:rsidRPr="00D7366E">
              <w:rPr>
                <w:rFonts w:ascii="Tahoma" w:hAnsi="Tahoma" w:cs="Tahoma"/>
                <w:sz w:val="20"/>
                <w:szCs w:val="20"/>
              </w:rPr>
              <w:t>editing</w:t>
            </w:r>
            <w:r w:rsidRPr="00D7366E">
              <w:rPr>
                <w:rFonts w:ascii="Tahoma" w:hAnsi="Tahoma" w:cs="Tahoma"/>
                <w:sz w:val="20"/>
                <w:szCs w:val="20"/>
              </w:rPr>
              <w:t>, and summarizing a judicial decision</w:t>
            </w:r>
          </w:p>
          <w:p w14:paraId="0408D8F4" w14:textId="6C5F1454" w:rsidR="0054199E" w:rsidRPr="00473544" w:rsidRDefault="0054199E" w:rsidP="00097AA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54199E">
              <w:rPr>
                <w:rFonts w:ascii="Tahoma" w:hAnsi="Tahoma" w:cs="Tahoma"/>
                <w:sz w:val="20"/>
                <w:szCs w:val="20"/>
              </w:rPr>
              <w:t>Guest speaker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9CDF2A" w14:textId="5E9B706D" w:rsidR="001F2EF3" w:rsidRDefault="0054199E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585E57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7439958E" w14:textId="3640404A" w:rsidR="00097AA6" w:rsidRDefault="0054199E" w:rsidP="005419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  <w:p w14:paraId="6277B7EB" w14:textId="42BF7B7F" w:rsidR="0054199E" w:rsidRPr="00F84DDE" w:rsidRDefault="0054199E" w:rsidP="005419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6%</w:t>
            </w:r>
          </w:p>
        </w:tc>
      </w:tr>
      <w:tr w:rsidR="001F2EF3" w:rsidRPr="00F84DDE" w14:paraId="52620A2C" w14:textId="77777777" w:rsidTr="0054199E">
        <w:trPr>
          <w:trHeight w:hRule="exact" w:val="288"/>
        </w:trPr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CB43C8D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Assessment Methods</w:t>
            </w:r>
          </w:p>
        </w:tc>
        <w:tc>
          <w:tcPr>
            <w:tcW w:w="344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83CCD6" w14:textId="77777777" w:rsidR="001F2EF3" w:rsidRPr="00F84DDE" w:rsidRDefault="001F2EF3" w:rsidP="009428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Assessment Activity</w:t>
            </w:r>
          </w:p>
        </w:tc>
        <w:tc>
          <w:tcPr>
            <w:tcW w:w="1163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55D887" w14:textId="77777777" w:rsidR="001F2EF3" w:rsidRPr="00F84DDE" w:rsidRDefault="001F2EF3" w:rsidP="0021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</w:p>
        </w:tc>
        <w:tc>
          <w:tcPr>
            <w:tcW w:w="13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608205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Week</w:t>
            </w:r>
          </w:p>
        </w:tc>
        <w:tc>
          <w:tcPr>
            <w:tcW w:w="167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68BE87" w14:textId="77777777" w:rsidR="001F2EF3" w:rsidRPr="00F84DDE" w:rsidRDefault="001F2EF3" w:rsidP="004C4C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Weight (%)</w:t>
            </w:r>
          </w:p>
        </w:tc>
      </w:tr>
      <w:tr w:rsidR="001F2EF3" w:rsidRPr="00F84DDE" w14:paraId="4595E5DF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162D1E9E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BFC44B3" w14:textId="0ED52893" w:rsidR="001F2EF3" w:rsidRPr="00F84DDE" w:rsidRDefault="00585E57" w:rsidP="0050256A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Attendance</w:t>
            </w:r>
            <w:r w:rsidR="000F58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7E474CB" w14:textId="77777777" w:rsidR="001F2EF3" w:rsidRPr="00F84DDE" w:rsidRDefault="001F2EF3" w:rsidP="00ED6507">
            <w:pPr>
              <w:tabs>
                <w:tab w:val="center" w:pos="558"/>
                <w:tab w:val="left" w:pos="990"/>
              </w:tabs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ab/>
            </w:r>
            <w:r w:rsidR="00585E57" w:rsidRPr="00F84DDE">
              <w:rPr>
                <w:rFonts w:ascii="Tahoma" w:hAnsi="Tahoma" w:cs="Tahoma"/>
                <w:sz w:val="20"/>
                <w:szCs w:val="20"/>
              </w:rPr>
              <w:t>1</w:t>
            </w:r>
            <w:r w:rsidRPr="00F84DDE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26193EC" w14:textId="77777777" w:rsidR="001F2EF3" w:rsidRPr="00F84DDE" w:rsidRDefault="00585E57" w:rsidP="00ED65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748818" w14:textId="4CD8A6C0" w:rsidR="001F2EF3" w:rsidRPr="00F84DDE" w:rsidRDefault="00585E57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1F2EF3" w:rsidRPr="00F84DDE" w14:paraId="02B7836D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00DD37F6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41B89A14" w14:textId="500CC89B" w:rsidR="001F2EF3" w:rsidRPr="00F84DDE" w:rsidRDefault="003229C2" w:rsidP="00210AE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Guest speaker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1FBD691" w14:textId="77777777" w:rsidR="001F2EF3" w:rsidRPr="00F84DDE" w:rsidRDefault="003A03E0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5637429" w14:textId="34BB892C" w:rsidR="001F2EF3" w:rsidRPr="00F84DDE" w:rsidRDefault="00057841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6C098F" w14:textId="6020A572" w:rsidR="001F2EF3" w:rsidRPr="00F84DDE" w:rsidRDefault="00026B6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3A03E0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F2EF3" w:rsidRPr="00F84DDE" w14:paraId="0A7842EB" w14:textId="77777777" w:rsidTr="00057841">
        <w:trPr>
          <w:trHeight w:hRule="exact" w:val="1197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5539A338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0F2AC3E7" w14:textId="1472D455" w:rsidR="001F2EF3" w:rsidRDefault="003A03E0" w:rsidP="001F2EF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Case study</w:t>
            </w:r>
          </w:p>
          <w:p w14:paraId="74603FCA" w14:textId="30221D36" w:rsidR="00097AA6" w:rsidRPr="00097AA6" w:rsidRDefault="00097AA6" w:rsidP="00097AA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Vists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9616184" w14:textId="77777777" w:rsidR="00097AA6" w:rsidRDefault="00097AA6" w:rsidP="00097AA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Drafting and editing of legal documents </w:t>
            </w:r>
          </w:p>
          <w:p w14:paraId="037B17FD" w14:textId="77777777" w:rsidR="0054199E" w:rsidRPr="0054199E" w:rsidRDefault="0054199E" w:rsidP="0054199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54199E">
              <w:rPr>
                <w:rFonts w:ascii="Tahoma" w:hAnsi="Tahoma" w:cs="Tahoma"/>
                <w:sz w:val="20"/>
                <w:szCs w:val="20"/>
              </w:rPr>
              <w:t>Simulated court session</w:t>
            </w:r>
          </w:p>
          <w:p w14:paraId="1F378526" w14:textId="0B68AA7E" w:rsidR="0054199E" w:rsidRPr="00026B63" w:rsidRDefault="0054199E" w:rsidP="00026B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29307D82" w14:textId="77777777" w:rsidR="001F2EF3" w:rsidRDefault="003A03E0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325E0838" w14:textId="77777777" w:rsidR="00097AA6" w:rsidRDefault="00097AA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A484DA2" w14:textId="77777777" w:rsidR="00097AA6" w:rsidRDefault="00097AA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45683A47" w14:textId="77777777" w:rsidR="0054199E" w:rsidRDefault="0054199E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FBB934" w14:textId="4A908B23" w:rsidR="0054199E" w:rsidRPr="00F84DDE" w:rsidRDefault="0054199E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12E34D04" w14:textId="77777777" w:rsidR="001F2EF3" w:rsidRDefault="003A03E0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76283363" w14:textId="0DB6E018" w:rsidR="00097AA6" w:rsidRDefault="00097AA6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26B63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16BD1BA2" w14:textId="77777777" w:rsidR="00097AA6" w:rsidRDefault="00097AA6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1/10</w:t>
            </w:r>
          </w:p>
          <w:p w14:paraId="11B145D2" w14:textId="77777777" w:rsidR="0054199E" w:rsidRDefault="0054199E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FCD4C8" w14:textId="028F91A0" w:rsidR="0054199E" w:rsidRPr="00F84DDE" w:rsidRDefault="0054199E" w:rsidP="004C48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14/15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DFE0E7" w14:textId="154DB110" w:rsidR="001F2EF3" w:rsidRDefault="0035203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3A03E0" w:rsidRPr="00F84DDE"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47583264" w14:textId="5B13F382" w:rsidR="00097AA6" w:rsidRDefault="00C8726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097AA6">
              <w:rPr>
                <w:rFonts w:ascii="Tahoma" w:hAnsi="Tahoma" w:cs="Tahoma"/>
                <w:sz w:val="20"/>
                <w:szCs w:val="20"/>
              </w:rPr>
              <w:t>%</w:t>
            </w:r>
          </w:p>
          <w:p w14:paraId="19D92CE3" w14:textId="77777777" w:rsidR="00097AA6" w:rsidRDefault="00097AA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15%</w:t>
            </w:r>
          </w:p>
          <w:p w14:paraId="632FC9BC" w14:textId="77777777" w:rsidR="0054199E" w:rsidRDefault="0054199E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7BF525" w14:textId="5375455A" w:rsidR="0054199E" w:rsidRPr="00F84DDE" w:rsidRDefault="00352036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57841">
              <w:rPr>
                <w:rFonts w:ascii="Tahoma" w:hAnsi="Tahoma" w:cs="Tahoma"/>
                <w:sz w:val="20"/>
                <w:szCs w:val="20"/>
              </w:rPr>
              <w:t>0</w:t>
            </w:r>
            <w:r w:rsidR="0054199E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1F2EF3" w:rsidRPr="00F84DDE" w14:paraId="19D53C60" w14:textId="77777777" w:rsidTr="00026B63">
        <w:trPr>
          <w:trHeight w:hRule="exact" w:val="74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42ABE6DF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C4C703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139B4D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239B151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429D2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5D2F7B9E" w14:textId="77777777" w:rsidTr="0054199E">
        <w:trPr>
          <w:trHeight w:hRule="exact" w:val="288"/>
        </w:trPr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479F59C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Course resources</w:t>
            </w:r>
          </w:p>
        </w:tc>
        <w:tc>
          <w:tcPr>
            <w:tcW w:w="5946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D02721" w14:textId="77777777" w:rsidR="001F2EF3" w:rsidRPr="00F84DDE" w:rsidRDefault="001F2EF3" w:rsidP="009428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Resources</w:t>
            </w:r>
          </w:p>
        </w:tc>
        <w:tc>
          <w:tcPr>
            <w:tcW w:w="167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D7A0570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Number</w:t>
            </w:r>
          </w:p>
        </w:tc>
      </w:tr>
      <w:tr w:rsidR="001F2EF3" w:rsidRPr="00F84DDE" w14:paraId="73C7D83A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A645C0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E990F" w14:textId="77777777" w:rsidR="001F2EF3" w:rsidRPr="00F84DDE" w:rsidRDefault="009B7460" w:rsidP="009428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E-library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D2CB23" w14:textId="0A78DFBE" w:rsidR="00207DEE" w:rsidRPr="00F84DDE" w:rsidRDefault="00207DEE" w:rsidP="00207D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40E367D7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4BF1318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C5A75" w14:textId="77777777" w:rsidR="001F2EF3" w:rsidRPr="00F84DDE" w:rsidRDefault="001F2EF3" w:rsidP="009428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Moodle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AB403F5" w14:textId="77777777" w:rsidR="001F2EF3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371312" w14:textId="52E9AABC" w:rsidR="00207DEE" w:rsidRPr="00F84DDE" w:rsidRDefault="00207DEE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F2EF3" w:rsidRPr="00F84DDE" w14:paraId="5552D8EF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F1375D3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C0DDF" w14:textId="77777777" w:rsidR="001F2EF3" w:rsidRPr="00F84DDE" w:rsidRDefault="003A03E0" w:rsidP="009428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Case studies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CD0557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2945D2E0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6592C41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394E1" w14:textId="77777777" w:rsidR="001F2EF3" w:rsidRPr="00F84DDE" w:rsidRDefault="001F2EF3" w:rsidP="000B12D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Proje</w:t>
            </w:r>
            <w:r w:rsidR="000B12D1" w:rsidRPr="00F84DDE">
              <w:rPr>
                <w:rFonts w:ascii="Tahoma" w:hAnsi="Tahoma" w:cs="Tahoma"/>
                <w:sz w:val="20"/>
                <w:szCs w:val="20"/>
              </w:rPr>
              <w:t>c</w:t>
            </w:r>
            <w:r w:rsidRPr="00F84DDE">
              <w:rPr>
                <w:rFonts w:ascii="Tahoma" w:hAnsi="Tahoma" w:cs="Tahoma"/>
                <w:sz w:val="20"/>
                <w:szCs w:val="20"/>
              </w:rPr>
              <w:t>tor</w:t>
            </w:r>
            <w:r w:rsidR="001B7DD7" w:rsidRPr="00F84DDE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73385B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57CEB140" w14:textId="77777777" w:rsidTr="0054199E">
        <w:trPr>
          <w:trHeight w:hRule="exact" w:val="80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6B7B0B7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4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03586B" w14:textId="77777777" w:rsidR="001F2EF3" w:rsidRPr="00F84DDE" w:rsidRDefault="001F2EF3" w:rsidP="0081785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39EC5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0741D7EF" w14:textId="77777777" w:rsidTr="0054199E">
        <w:trPr>
          <w:trHeight w:hRule="exact" w:val="288"/>
        </w:trPr>
        <w:tc>
          <w:tcPr>
            <w:tcW w:w="245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72C911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ECTS Workload</w:t>
            </w:r>
          </w:p>
        </w:tc>
        <w:tc>
          <w:tcPr>
            <w:tcW w:w="460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98670B" w14:textId="77777777" w:rsidR="001F2EF3" w:rsidRPr="00F84DDE" w:rsidRDefault="001F2EF3" w:rsidP="009428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Activity</w:t>
            </w:r>
          </w:p>
        </w:tc>
        <w:tc>
          <w:tcPr>
            <w:tcW w:w="133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B5F0FB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Weekly hrs</w:t>
            </w:r>
          </w:p>
        </w:tc>
        <w:tc>
          <w:tcPr>
            <w:tcW w:w="167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4EA9AD0" w14:textId="77777777" w:rsidR="001F2EF3" w:rsidRPr="00F84DDE" w:rsidRDefault="001F2EF3" w:rsidP="009428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Total workload</w:t>
            </w:r>
          </w:p>
        </w:tc>
      </w:tr>
      <w:tr w:rsidR="001F2EF3" w:rsidRPr="00F84DDE" w14:paraId="0E59DEA9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405B269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A1DAA" w14:textId="77777777" w:rsidR="001F2EF3" w:rsidRPr="00F84DDE" w:rsidRDefault="00D502E3" w:rsidP="0067374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Lectures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870F373" w14:textId="77777777" w:rsidR="001F2EF3" w:rsidRPr="00F84DDE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3863D0" w14:textId="2CE86460" w:rsidR="001F2EF3" w:rsidRPr="00F84DDE" w:rsidRDefault="00411E2D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</w:tr>
      <w:tr w:rsidR="001F2EF3" w:rsidRPr="00F84DDE" w14:paraId="5001999C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DD1C60A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75389" w14:textId="1578C2BF" w:rsidR="001F2EF3" w:rsidRPr="00F84DDE" w:rsidRDefault="00591112" w:rsidP="0067374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 xml:space="preserve">Study visit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553C89CE" w14:textId="6B1BEA1F" w:rsidR="001F2EF3" w:rsidRPr="00F84DDE" w:rsidRDefault="00C8726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7F9847" w14:textId="399D35E6" w:rsidR="001F2EF3" w:rsidRPr="00F84DDE" w:rsidRDefault="00411E2D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1F2EF3" w:rsidRPr="00F84DDE" w14:paraId="011014B8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86EC9E4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40FF5" w14:textId="77777777" w:rsidR="001F2EF3" w:rsidRPr="00F84DDE" w:rsidRDefault="00591112" w:rsidP="00D502E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Independent study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37252BEE" w14:textId="77777777" w:rsidR="001F2EF3" w:rsidRPr="00F84DDE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13221A" w14:textId="3737AC47" w:rsidR="001F2EF3" w:rsidRPr="00F84DDE" w:rsidRDefault="00411E2D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0282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1F2EF3" w:rsidRPr="00F84DDE" w14:paraId="0C2A5192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0F77F14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89C73" w14:textId="77777777" w:rsidR="00057841" w:rsidRPr="00057841" w:rsidRDefault="00057841" w:rsidP="0005784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057841">
              <w:rPr>
                <w:rFonts w:ascii="Tahoma" w:hAnsi="Tahoma" w:cs="Tahoma"/>
                <w:sz w:val="20"/>
                <w:szCs w:val="20"/>
              </w:rPr>
              <w:t>Simulated court session</w:t>
            </w:r>
          </w:p>
          <w:p w14:paraId="11D310DD" w14:textId="74311968" w:rsidR="001F2EF3" w:rsidRPr="00F84DDE" w:rsidRDefault="001F2EF3" w:rsidP="0005784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693AB11E" w14:textId="77777777" w:rsidR="001F2EF3" w:rsidRPr="00F84DDE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BA9CD01" w14:textId="58AE40B1" w:rsidR="001F2EF3" w:rsidRPr="00F84DDE" w:rsidRDefault="004C26E0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11E2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1F2EF3" w:rsidRPr="00F84DDE" w14:paraId="4BB818A3" w14:textId="77777777" w:rsidTr="0054199E">
        <w:trPr>
          <w:trHeight w:hRule="exact" w:val="288"/>
        </w:trPr>
        <w:tc>
          <w:tcPr>
            <w:tcW w:w="2451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E87F5FA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44A8A" w14:textId="4CA87521" w:rsidR="001F2EF3" w:rsidRPr="00F84DDE" w:rsidRDefault="003229C2" w:rsidP="0005784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Guest speaker </w:t>
            </w:r>
            <w:r w:rsidR="0005784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46DC7E5A" w14:textId="77777777" w:rsidR="001F2EF3" w:rsidRPr="00F84DDE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E823F5" w14:textId="7C1DBB7D" w:rsidR="001F2EF3" w:rsidRPr="00F84DDE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  <w:r w:rsidR="0060282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591112" w:rsidRPr="00F84DDE" w14:paraId="3B26DACF" w14:textId="77777777" w:rsidTr="0054199E">
        <w:trPr>
          <w:trHeight w:hRule="exact" w:val="540"/>
        </w:trPr>
        <w:tc>
          <w:tcPr>
            <w:tcW w:w="245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0960C9D" w14:textId="77777777" w:rsidR="00591112" w:rsidRPr="00F84DDE" w:rsidRDefault="00591112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87D2092" w14:textId="77777777" w:rsidR="00591112" w:rsidRDefault="00591112" w:rsidP="0005784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Final examination preparation</w:t>
            </w:r>
          </w:p>
          <w:p w14:paraId="476ED65A" w14:textId="4E5A8C3C" w:rsidR="00C87263" w:rsidRPr="00F84DDE" w:rsidRDefault="00C87263" w:rsidP="00057841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Drafting and editing of legal documents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13E503F" w14:textId="77777777" w:rsidR="00591112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02220328" w14:textId="1E992F7F" w:rsidR="00C87263" w:rsidRPr="00F84DDE" w:rsidRDefault="00C8726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64BA3" w14:textId="75BFCDDC" w:rsidR="00591112" w:rsidRDefault="00591112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4DDE">
              <w:rPr>
                <w:rFonts w:ascii="Tahoma" w:hAnsi="Tahoma" w:cs="Tahoma"/>
                <w:sz w:val="20"/>
                <w:szCs w:val="20"/>
              </w:rPr>
              <w:t>15</w:t>
            </w:r>
          </w:p>
          <w:p w14:paraId="5A497000" w14:textId="669CBE5D" w:rsidR="00C87263" w:rsidRDefault="0060282F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  <w:p w14:paraId="6DDFBB71" w14:textId="28F1988E" w:rsidR="00C87263" w:rsidRPr="00F84DDE" w:rsidRDefault="00C87263" w:rsidP="009428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2EF3" w:rsidRPr="00F84DDE" w14:paraId="545CB8D9" w14:textId="77777777" w:rsidTr="004C4EBB">
        <w:trPr>
          <w:trHeight w:val="611"/>
        </w:trPr>
        <w:tc>
          <w:tcPr>
            <w:tcW w:w="2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5CA5123C" w14:textId="77777777" w:rsidR="001F2EF3" w:rsidRPr="00F84DDE" w:rsidRDefault="001F2EF3" w:rsidP="006737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97C3C" w14:textId="77777777" w:rsidR="00F545A9" w:rsidRPr="00695FFB" w:rsidRDefault="00F545A9" w:rsidP="00F545A9">
            <w:pPr>
              <w:pStyle w:val="NoSpacing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E2D13C" w14:textId="36657784" w:rsidR="0060282F" w:rsidRPr="00695FFB" w:rsidRDefault="00A50E62" w:rsidP="00CE1545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95FFB">
              <w:rPr>
                <w:rFonts w:ascii="Tahoma" w:hAnsi="Tahoma" w:cs="Tahoma"/>
                <w:b/>
                <w:sz w:val="20"/>
                <w:szCs w:val="20"/>
                <w:lang w:val="en-US"/>
              </w:rPr>
              <w:t>Basic literature</w:t>
            </w:r>
          </w:p>
          <w:p w14:paraId="08A2A923" w14:textId="77777777" w:rsidR="00CE1545" w:rsidRPr="00AE442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Faik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Brestovci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Iset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Morina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Rustem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Qehaja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>, "Civil Procedure Law - Contested Pr</w:t>
            </w:r>
            <w:r w:rsidRPr="00AE4424">
              <w:rPr>
                <w:rFonts w:ascii="Arial" w:hAnsi="Arial" w:cs="Arial"/>
                <w:sz w:val="18"/>
                <w:szCs w:val="18"/>
              </w:rPr>
              <w:t>ocedure", Pristine 2017.</w:t>
            </w:r>
          </w:p>
          <w:p w14:paraId="633F631A" w14:textId="77777777" w:rsidR="00CE1545" w:rsidRPr="00AE442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424">
              <w:rPr>
                <w:rFonts w:ascii="Arial" w:hAnsi="Arial" w:cs="Arial"/>
                <w:sz w:val="18"/>
                <w:szCs w:val="18"/>
              </w:rPr>
              <w:t xml:space="preserve">Richard Marcus, Edward Sherman, Howard </w:t>
            </w:r>
            <w:proofErr w:type="spellStart"/>
            <w:r w:rsidRPr="00AE4424">
              <w:rPr>
                <w:rFonts w:ascii="Arial" w:hAnsi="Arial" w:cs="Arial"/>
                <w:sz w:val="18"/>
                <w:szCs w:val="18"/>
              </w:rPr>
              <w:t>Erichson</w:t>
            </w:r>
            <w:proofErr w:type="spellEnd"/>
            <w:r w:rsidRPr="00AE4424">
              <w:rPr>
                <w:rFonts w:ascii="Arial" w:hAnsi="Arial" w:cs="Arial"/>
                <w:sz w:val="18"/>
                <w:szCs w:val="18"/>
              </w:rPr>
              <w:t>, Complex Litigation: Cases and Materials on Advanced Civil Procedure, 6</w:t>
            </w:r>
            <w:r w:rsidRPr="00AE442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E4424">
              <w:rPr>
                <w:rFonts w:ascii="Arial" w:hAnsi="Arial" w:cs="Arial"/>
                <w:sz w:val="18"/>
                <w:szCs w:val="18"/>
              </w:rPr>
              <w:t xml:space="preserve"> edition, </w:t>
            </w:r>
            <w:r w:rsidRPr="00AE4424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West Academic Publishing. 2015</w:t>
            </w:r>
          </w:p>
          <w:p w14:paraId="11C9CFEA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434">
              <w:rPr>
                <w:rFonts w:ascii="Arial" w:hAnsi="Arial" w:cs="Arial"/>
                <w:sz w:val="18"/>
                <w:szCs w:val="18"/>
              </w:rPr>
              <w:t>Law on Contested Procedure, Pristine 2012.</w:t>
            </w:r>
          </w:p>
          <w:p w14:paraId="0639F3F7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Muharrem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Shala, Albert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Zogaj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Valon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Totaj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Zenel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87434">
              <w:rPr>
                <w:rFonts w:ascii="Arial" w:hAnsi="Arial" w:cs="Arial"/>
                <w:sz w:val="18"/>
                <w:szCs w:val="18"/>
              </w:rPr>
              <w:t>Leku</w:t>
            </w:r>
            <w:proofErr w:type="spellEnd"/>
            <w:r w:rsidRPr="00687434">
              <w:rPr>
                <w:rFonts w:ascii="Arial" w:hAnsi="Arial" w:cs="Arial"/>
                <w:sz w:val="18"/>
                <w:szCs w:val="18"/>
              </w:rPr>
              <w:t>, "Handbook of Judges on Contested Procedure".</w:t>
            </w:r>
          </w:p>
          <w:p w14:paraId="785107CB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434">
              <w:rPr>
                <w:rFonts w:ascii="Arial" w:hAnsi="Arial" w:cs="Arial"/>
                <w:sz w:val="18"/>
                <w:szCs w:val="18"/>
              </w:rPr>
              <w:t>Richard D. Freer: “International civil procedure”</w:t>
            </w:r>
          </w:p>
          <w:p w14:paraId="57A4F85F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434">
              <w:rPr>
                <w:rFonts w:ascii="Arial" w:hAnsi="Arial" w:cs="Arial"/>
                <w:sz w:val="18"/>
                <w:szCs w:val="18"/>
              </w:rPr>
              <w:t>European Convention for the Protection of Human Rights and Fundamental Freedoms, 1950.</w:t>
            </w:r>
          </w:p>
          <w:p w14:paraId="6ED937A4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434">
              <w:rPr>
                <w:rFonts w:ascii="Arial" w:hAnsi="Arial" w:cs="Arial"/>
                <w:sz w:val="18"/>
                <w:szCs w:val="18"/>
              </w:rPr>
              <w:t>Law on Contested Procedure No.03/L-006 dated 30.06.2008.</w:t>
            </w:r>
          </w:p>
          <w:p w14:paraId="1E387455" w14:textId="77777777" w:rsidR="00CE1545" w:rsidRPr="00687434" w:rsidRDefault="00CE1545" w:rsidP="00CE154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7434">
              <w:rPr>
                <w:rFonts w:ascii="Arial" w:hAnsi="Arial" w:cs="Arial"/>
                <w:sz w:val="18"/>
                <w:szCs w:val="18"/>
              </w:rPr>
              <w:t>Law on Non-Contested Procedure No.03/L-007 dated 20.11.2008.</w:t>
            </w:r>
          </w:p>
          <w:p w14:paraId="5A679F72" w14:textId="76D3AE21" w:rsidR="00352036" w:rsidRPr="00352036" w:rsidRDefault="00CE1545" w:rsidP="00CE1545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 w:rsidRPr="00687434">
              <w:rPr>
                <w:rFonts w:ascii="Arial" w:hAnsi="Arial" w:cs="Arial"/>
                <w:sz w:val="18"/>
                <w:szCs w:val="18"/>
              </w:rPr>
              <w:t>Law on Enforcement Procedure No.03/L-008 dated 02.06.2008.</w:t>
            </w:r>
          </w:p>
        </w:tc>
      </w:tr>
      <w:tr w:rsidR="001F2EF3" w:rsidRPr="00F84DDE" w14:paraId="13A4053D" w14:textId="77777777" w:rsidTr="004C4EBB">
        <w:tc>
          <w:tcPr>
            <w:tcW w:w="2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042C2DE9" w14:textId="77777777" w:rsidR="001F2EF3" w:rsidRPr="00F84DDE" w:rsidRDefault="001F2EF3" w:rsidP="00210AE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84DDE">
              <w:rPr>
                <w:rFonts w:ascii="Tahoma" w:hAnsi="Tahoma" w:cs="Tahoma"/>
                <w:b/>
                <w:sz w:val="20"/>
                <w:szCs w:val="20"/>
              </w:rPr>
              <w:t>Contact</w:t>
            </w:r>
          </w:p>
        </w:tc>
        <w:tc>
          <w:tcPr>
            <w:tcW w:w="7619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0E10B8" w14:textId="4A03F825" w:rsidR="001F2EF3" w:rsidRPr="00695FFB" w:rsidRDefault="00C7494E" w:rsidP="00717D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Florim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Shefqeti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LLM – Attorney – </w:t>
            </w:r>
            <w:hyperlink r:id="rId5" w:history="1">
              <w:r w:rsidRPr="00612A8F">
                <w:rPr>
                  <w:rStyle w:val="Hyperlink"/>
                  <w:rFonts w:ascii="Tahoma" w:hAnsi="Tahoma" w:cs="Tahoma"/>
                  <w:sz w:val="20"/>
                  <w:szCs w:val="20"/>
                </w:rPr>
                <w:t>florim.shefqeti@ubt-uni.net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1669B6F4" w14:textId="77777777" w:rsidR="00BB6CB7" w:rsidRPr="00F84DDE" w:rsidRDefault="00BB6CB7">
      <w:pPr>
        <w:rPr>
          <w:rFonts w:ascii="Tahoma" w:hAnsi="Tahoma" w:cs="Tahoma"/>
          <w:sz w:val="20"/>
          <w:szCs w:val="20"/>
        </w:rPr>
      </w:pPr>
    </w:p>
    <w:p w14:paraId="709C59AF" w14:textId="77777777" w:rsidR="00BB6CB7" w:rsidRPr="00F84DDE" w:rsidRDefault="00BB6CB7">
      <w:pPr>
        <w:rPr>
          <w:rFonts w:ascii="Tahoma" w:hAnsi="Tahoma" w:cs="Tahoma"/>
          <w:sz w:val="20"/>
          <w:szCs w:val="20"/>
        </w:rPr>
      </w:pPr>
    </w:p>
    <w:p w14:paraId="097E33C5" w14:textId="77777777" w:rsidR="00BB6CB7" w:rsidRPr="00F84DDE" w:rsidRDefault="00BB6CB7">
      <w:pPr>
        <w:rPr>
          <w:rFonts w:ascii="Tahoma" w:hAnsi="Tahoma" w:cs="Tahoma"/>
          <w:sz w:val="20"/>
          <w:szCs w:val="20"/>
        </w:rPr>
      </w:pPr>
    </w:p>
    <w:p w14:paraId="4994C74F" w14:textId="77777777" w:rsidR="00A94251" w:rsidRPr="00F84DDE" w:rsidRDefault="00A94251" w:rsidP="00A94251">
      <w:pPr>
        <w:rPr>
          <w:rFonts w:ascii="Tahoma" w:hAnsi="Tahoma" w:cs="Tahoma"/>
          <w:sz w:val="20"/>
          <w:szCs w:val="20"/>
        </w:rPr>
      </w:pPr>
    </w:p>
    <w:sectPr w:rsidR="00A94251" w:rsidRPr="00F84DD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D9"/>
    <w:multiLevelType w:val="multilevel"/>
    <w:tmpl w:val="9E3A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B5281"/>
    <w:multiLevelType w:val="hybridMultilevel"/>
    <w:tmpl w:val="5A18CB5C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EB2"/>
    <w:multiLevelType w:val="hybridMultilevel"/>
    <w:tmpl w:val="D0C0D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04C3"/>
    <w:multiLevelType w:val="multilevel"/>
    <w:tmpl w:val="A814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633E1"/>
    <w:multiLevelType w:val="hybridMultilevel"/>
    <w:tmpl w:val="DEE249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5E3"/>
    <w:multiLevelType w:val="hybridMultilevel"/>
    <w:tmpl w:val="1A80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35E0"/>
    <w:multiLevelType w:val="hybridMultilevel"/>
    <w:tmpl w:val="410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E007F"/>
    <w:multiLevelType w:val="hybridMultilevel"/>
    <w:tmpl w:val="510488D0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6E9"/>
    <w:multiLevelType w:val="hybridMultilevel"/>
    <w:tmpl w:val="89BC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C1CA0"/>
    <w:multiLevelType w:val="hybridMultilevel"/>
    <w:tmpl w:val="E1B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C7BFF"/>
    <w:multiLevelType w:val="hybridMultilevel"/>
    <w:tmpl w:val="2EC25080"/>
    <w:lvl w:ilvl="0" w:tplc="ACDCE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7CA4"/>
    <w:multiLevelType w:val="hybridMultilevel"/>
    <w:tmpl w:val="D206A6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9582C"/>
    <w:multiLevelType w:val="hybridMultilevel"/>
    <w:tmpl w:val="D1E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843B7"/>
    <w:multiLevelType w:val="hybridMultilevel"/>
    <w:tmpl w:val="2560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420E6"/>
    <w:multiLevelType w:val="hybridMultilevel"/>
    <w:tmpl w:val="C318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E5645"/>
    <w:multiLevelType w:val="hybridMultilevel"/>
    <w:tmpl w:val="B7EC4762"/>
    <w:lvl w:ilvl="0" w:tplc="5316CD6C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1BAB"/>
    <w:multiLevelType w:val="hybridMultilevel"/>
    <w:tmpl w:val="5B7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4B51"/>
    <w:multiLevelType w:val="hybridMultilevel"/>
    <w:tmpl w:val="789457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009BD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20"/>
  </w:num>
  <w:num w:numId="11">
    <w:abstractNumId w:val="5"/>
  </w:num>
  <w:num w:numId="12">
    <w:abstractNumId w:val="19"/>
  </w:num>
  <w:num w:numId="13">
    <w:abstractNumId w:val="11"/>
  </w:num>
  <w:num w:numId="14">
    <w:abstractNumId w:val="4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3"/>
  </w:num>
  <w:num w:numId="20">
    <w:abstractNumId w:val="18"/>
  </w:num>
  <w:num w:numId="21">
    <w:abstractNumId w:val="8"/>
  </w:num>
  <w:num w:numId="22">
    <w:abstractNumId w:val="6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A21"/>
    <w:rsid w:val="00012445"/>
    <w:rsid w:val="0002032B"/>
    <w:rsid w:val="000203B2"/>
    <w:rsid w:val="00026B63"/>
    <w:rsid w:val="0003134B"/>
    <w:rsid w:val="00032386"/>
    <w:rsid w:val="00036DE1"/>
    <w:rsid w:val="0003773F"/>
    <w:rsid w:val="00042E3E"/>
    <w:rsid w:val="00057841"/>
    <w:rsid w:val="00057C7C"/>
    <w:rsid w:val="00072D25"/>
    <w:rsid w:val="000819A7"/>
    <w:rsid w:val="00092270"/>
    <w:rsid w:val="00097AA6"/>
    <w:rsid w:val="000A079E"/>
    <w:rsid w:val="000A3F19"/>
    <w:rsid w:val="000B12D1"/>
    <w:rsid w:val="000C6AB8"/>
    <w:rsid w:val="000D36FD"/>
    <w:rsid w:val="000F5869"/>
    <w:rsid w:val="00100D9B"/>
    <w:rsid w:val="00103B90"/>
    <w:rsid w:val="001075A9"/>
    <w:rsid w:val="00132CC8"/>
    <w:rsid w:val="0014241A"/>
    <w:rsid w:val="001620E4"/>
    <w:rsid w:val="001654FE"/>
    <w:rsid w:val="001B7DD7"/>
    <w:rsid w:val="001D53EA"/>
    <w:rsid w:val="001D7C39"/>
    <w:rsid w:val="001E4FE1"/>
    <w:rsid w:val="001F2EF3"/>
    <w:rsid w:val="002008E3"/>
    <w:rsid w:val="00207DEE"/>
    <w:rsid w:val="00210AEF"/>
    <w:rsid w:val="00225065"/>
    <w:rsid w:val="00236CE5"/>
    <w:rsid w:val="002445B2"/>
    <w:rsid w:val="00262201"/>
    <w:rsid w:val="002B5879"/>
    <w:rsid w:val="003229C2"/>
    <w:rsid w:val="003305D3"/>
    <w:rsid w:val="00352036"/>
    <w:rsid w:val="00376574"/>
    <w:rsid w:val="003A02EF"/>
    <w:rsid w:val="003A03E0"/>
    <w:rsid w:val="003B38B9"/>
    <w:rsid w:val="00411E2D"/>
    <w:rsid w:val="00422941"/>
    <w:rsid w:val="00436789"/>
    <w:rsid w:val="00473544"/>
    <w:rsid w:val="004A19E5"/>
    <w:rsid w:val="004A3B12"/>
    <w:rsid w:val="004B2632"/>
    <w:rsid w:val="004B47EA"/>
    <w:rsid w:val="004C26E0"/>
    <w:rsid w:val="004C4391"/>
    <w:rsid w:val="004C4882"/>
    <w:rsid w:val="004C4CBB"/>
    <w:rsid w:val="004C4EBB"/>
    <w:rsid w:val="004D3801"/>
    <w:rsid w:val="004E14BE"/>
    <w:rsid w:val="0050256A"/>
    <w:rsid w:val="00523EEA"/>
    <w:rsid w:val="00532524"/>
    <w:rsid w:val="0054199E"/>
    <w:rsid w:val="005852C6"/>
    <w:rsid w:val="00585E57"/>
    <w:rsid w:val="00587299"/>
    <w:rsid w:val="00591112"/>
    <w:rsid w:val="005A181A"/>
    <w:rsid w:val="005D02BC"/>
    <w:rsid w:val="005D0A23"/>
    <w:rsid w:val="005D43FB"/>
    <w:rsid w:val="005E6568"/>
    <w:rsid w:val="005F1F41"/>
    <w:rsid w:val="0060282F"/>
    <w:rsid w:val="00605CEC"/>
    <w:rsid w:val="00622854"/>
    <w:rsid w:val="00632D56"/>
    <w:rsid w:val="0067374F"/>
    <w:rsid w:val="00692C02"/>
    <w:rsid w:val="00695FFB"/>
    <w:rsid w:val="00697CAC"/>
    <w:rsid w:val="006A7648"/>
    <w:rsid w:val="0070111E"/>
    <w:rsid w:val="00716046"/>
    <w:rsid w:val="00717DAB"/>
    <w:rsid w:val="00720DAE"/>
    <w:rsid w:val="00724302"/>
    <w:rsid w:val="007351BF"/>
    <w:rsid w:val="00752A3C"/>
    <w:rsid w:val="007665F0"/>
    <w:rsid w:val="00770608"/>
    <w:rsid w:val="0079477E"/>
    <w:rsid w:val="007A10CD"/>
    <w:rsid w:val="007A3C57"/>
    <w:rsid w:val="007C0C2B"/>
    <w:rsid w:val="007D02B1"/>
    <w:rsid w:val="007E15E2"/>
    <w:rsid w:val="007E592A"/>
    <w:rsid w:val="008068C8"/>
    <w:rsid w:val="00817854"/>
    <w:rsid w:val="00822224"/>
    <w:rsid w:val="008500F3"/>
    <w:rsid w:val="00855721"/>
    <w:rsid w:val="00865B02"/>
    <w:rsid w:val="008C3276"/>
    <w:rsid w:val="008D4093"/>
    <w:rsid w:val="008D5C79"/>
    <w:rsid w:val="008E24AC"/>
    <w:rsid w:val="008F1BD6"/>
    <w:rsid w:val="00901555"/>
    <w:rsid w:val="00906982"/>
    <w:rsid w:val="00913F9A"/>
    <w:rsid w:val="009352AA"/>
    <w:rsid w:val="0093564C"/>
    <w:rsid w:val="009428D7"/>
    <w:rsid w:val="00995E07"/>
    <w:rsid w:val="009A1778"/>
    <w:rsid w:val="009B7460"/>
    <w:rsid w:val="009F17FE"/>
    <w:rsid w:val="009F438D"/>
    <w:rsid w:val="00A35266"/>
    <w:rsid w:val="00A40107"/>
    <w:rsid w:val="00A50E62"/>
    <w:rsid w:val="00A555A2"/>
    <w:rsid w:val="00A5728E"/>
    <w:rsid w:val="00A86F4D"/>
    <w:rsid w:val="00A94251"/>
    <w:rsid w:val="00AE2803"/>
    <w:rsid w:val="00AE2DF5"/>
    <w:rsid w:val="00B148CE"/>
    <w:rsid w:val="00B47BD7"/>
    <w:rsid w:val="00B66D55"/>
    <w:rsid w:val="00BA7648"/>
    <w:rsid w:val="00BB6CB7"/>
    <w:rsid w:val="00BD0E37"/>
    <w:rsid w:val="00BF0E86"/>
    <w:rsid w:val="00C01017"/>
    <w:rsid w:val="00C06DF1"/>
    <w:rsid w:val="00C1144B"/>
    <w:rsid w:val="00C7494E"/>
    <w:rsid w:val="00C75860"/>
    <w:rsid w:val="00C76E7A"/>
    <w:rsid w:val="00C86199"/>
    <w:rsid w:val="00C87263"/>
    <w:rsid w:val="00C87675"/>
    <w:rsid w:val="00CE1545"/>
    <w:rsid w:val="00CE1FCC"/>
    <w:rsid w:val="00CE2508"/>
    <w:rsid w:val="00CF565C"/>
    <w:rsid w:val="00D10C66"/>
    <w:rsid w:val="00D343B7"/>
    <w:rsid w:val="00D502E3"/>
    <w:rsid w:val="00D7366E"/>
    <w:rsid w:val="00DC7E22"/>
    <w:rsid w:val="00E12F51"/>
    <w:rsid w:val="00E644A2"/>
    <w:rsid w:val="00E723B8"/>
    <w:rsid w:val="00EA0FCD"/>
    <w:rsid w:val="00EB5C39"/>
    <w:rsid w:val="00ED0327"/>
    <w:rsid w:val="00ED0D2D"/>
    <w:rsid w:val="00ED5F46"/>
    <w:rsid w:val="00ED6507"/>
    <w:rsid w:val="00F06093"/>
    <w:rsid w:val="00F15606"/>
    <w:rsid w:val="00F17532"/>
    <w:rsid w:val="00F267F8"/>
    <w:rsid w:val="00F4029E"/>
    <w:rsid w:val="00F450C6"/>
    <w:rsid w:val="00F545A9"/>
    <w:rsid w:val="00F64D9F"/>
    <w:rsid w:val="00F84DDE"/>
    <w:rsid w:val="00F90E61"/>
    <w:rsid w:val="00F9229D"/>
    <w:rsid w:val="00FB3A46"/>
    <w:rsid w:val="00FD1E44"/>
    <w:rsid w:val="00FE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93E8"/>
  <w15:docId w15:val="{AD1AAA6D-3A5E-48B0-AF24-458D32B5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92C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2C02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4C4882"/>
    <w:rPr>
      <w:i/>
      <w:iCs/>
    </w:rPr>
  </w:style>
  <w:style w:type="character" w:customStyle="1" w:styleId="authors">
    <w:name w:val="authors"/>
    <w:basedOn w:val="DefaultParagraphFont"/>
    <w:rsid w:val="004C4882"/>
  </w:style>
  <w:style w:type="character" w:customStyle="1" w:styleId="Title1">
    <w:name w:val="Title1"/>
    <w:basedOn w:val="DefaultParagraphFont"/>
    <w:rsid w:val="004C4882"/>
  </w:style>
  <w:style w:type="character" w:customStyle="1" w:styleId="collection">
    <w:name w:val="collection"/>
    <w:basedOn w:val="DefaultParagraphFont"/>
    <w:rsid w:val="004C488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D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1E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CE15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5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0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im.shefqet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3323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20</cp:revision>
  <dcterms:created xsi:type="dcterms:W3CDTF">2023-01-19T12:19:00Z</dcterms:created>
  <dcterms:modified xsi:type="dcterms:W3CDTF">2023-01-19T12:24:00Z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0c41720bef9ea4a6bb3f6375a62b4f8155526db6d431f8664119d6cf544d79d1</vt:lpwstr>
  </property>
</Properties>
</file>