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AA" w:rsidRDefault="00E1248C">
      <w:pPr>
        <w:jc w:val="center"/>
      </w:pPr>
      <w:r>
        <w:rPr>
          <w:rFonts w:ascii="Times New Roman" w:eastAsia="Times New Roman" w:hAnsi="Times New Roman" w:cs="Times New Roman"/>
          <w:noProof/>
          <w:sz w:val="20"/>
          <w:szCs w:val="20"/>
          <w:lang w:val="en-US"/>
        </w:rPr>
        <w:drawing>
          <wp:inline distT="0" distB="0" distL="0" distR="0">
            <wp:extent cx="790575" cy="685800"/>
            <wp:effectExtent l="0" t="0" r="0" b="0"/>
            <wp:docPr id="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790575" cy="685800"/>
                    </a:xfrm>
                    <a:prstGeom prst="rect">
                      <a:avLst/>
                    </a:prstGeom>
                    <a:ln/>
                  </pic:spPr>
                </pic:pic>
              </a:graphicData>
            </a:graphic>
          </wp:inline>
        </w:drawing>
      </w:r>
    </w:p>
    <w:p w:rsidR="00F860AA" w:rsidRDefault="00E1248C">
      <w:pPr>
        <w:jc w:val="center"/>
      </w:pPr>
      <w:r>
        <w:t>Law LLB</w:t>
      </w:r>
    </w:p>
    <w:tbl>
      <w:tblPr>
        <w:tblStyle w:val="a"/>
        <w:tblW w:w="999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470"/>
      </w:tblGrid>
      <w:tr w:rsidR="00F860AA">
        <w:trPr>
          <w:trHeight w:val="105"/>
        </w:trPr>
        <w:tc>
          <w:tcPr>
            <w:tcW w:w="2520" w:type="dxa"/>
            <w:shd w:val="clear" w:color="auto" w:fill="8DB3E2"/>
          </w:tcPr>
          <w:p w:rsidR="00F860AA" w:rsidRDefault="00F860AA">
            <w:pPr>
              <w:jc w:val="center"/>
            </w:pPr>
          </w:p>
          <w:p w:rsidR="00F860AA" w:rsidRDefault="00E1248C">
            <w:pPr>
              <w:rPr>
                <w:rFonts w:ascii="Arial" w:eastAsia="Arial" w:hAnsi="Arial" w:cs="Arial"/>
                <w:b/>
                <w:sz w:val="20"/>
                <w:szCs w:val="20"/>
              </w:rPr>
            </w:pPr>
            <w:r>
              <w:rPr>
                <w:rFonts w:ascii="Arial" w:eastAsia="Arial" w:hAnsi="Arial" w:cs="Arial"/>
                <w:b/>
                <w:sz w:val="20"/>
                <w:szCs w:val="20"/>
              </w:rPr>
              <w:t>Module</w:t>
            </w:r>
          </w:p>
        </w:tc>
        <w:tc>
          <w:tcPr>
            <w:tcW w:w="7470" w:type="dxa"/>
            <w:shd w:val="clear" w:color="auto" w:fill="8DB3E2"/>
          </w:tcPr>
          <w:p w:rsidR="00F860AA" w:rsidRDefault="00E1248C">
            <w:pPr>
              <w:spacing w:after="0"/>
              <w:rPr>
                <w:rFonts w:ascii="Arial" w:eastAsia="Arial" w:hAnsi="Arial" w:cs="Arial"/>
                <w:b/>
                <w:sz w:val="20"/>
                <w:szCs w:val="20"/>
              </w:rPr>
            </w:pPr>
            <w:r>
              <w:rPr>
                <w:rFonts w:ascii="Arial" w:eastAsia="Arial" w:hAnsi="Arial" w:cs="Arial"/>
                <w:b/>
                <w:sz w:val="20"/>
                <w:szCs w:val="20"/>
              </w:rPr>
              <w:t>EU Law I</w:t>
            </w:r>
          </w:p>
          <w:p w:rsidR="00F860AA" w:rsidRDefault="00F860AA">
            <w:pPr>
              <w:spacing w:after="0"/>
              <w:rPr>
                <w:rFonts w:ascii="Arial" w:eastAsia="Arial" w:hAnsi="Arial" w:cs="Arial"/>
                <w:sz w:val="20"/>
                <w:szCs w:val="20"/>
              </w:rPr>
            </w:pPr>
          </w:p>
          <w:p w:rsidR="00F860AA" w:rsidRDefault="00E1248C">
            <w:pPr>
              <w:spacing w:after="0"/>
              <w:rPr>
                <w:rFonts w:ascii="Arial" w:eastAsia="Arial" w:hAnsi="Arial" w:cs="Arial"/>
                <w:sz w:val="20"/>
                <w:szCs w:val="20"/>
              </w:rPr>
            </w:pPr>
            <w:r>
              <w:rPr>
                <w:rFonts w:ascii="Arial" w:eastAsia="Arial" w:hAnsi="Arial" w:cs="Arial"/>
                <w:sz w:val="20"/>
                <w:szCs w:val="20"/>
              </w:rPr>
              <w:t>Type</w:t>
            </w:r>
            <w:r>
              <w:rPr>
                <w:rFonts w:ascii="Arial" w:eastAsia="Arial" w:hAnsi="Arial" w:cs="Arial"/>
                <w:sz w:val="20"/>
                <w:szCs w:val="20"/>
              </w:rPr>
              <w:tab/>
              <w:t xml:space="preserve">                           Semester</w:t>
            </w:r>
            <w:r>
              <w:rPr>
                <w:rFonts w:ascii="Arial" w:eastAsia="Arial" w:hAnsi="Arial" w:cs="Arial"/>
                <w:sz w:val="20"/>
                <w:szCs w:val="20"/>
              </w:rPr>
              <w:tab/>
              <w:t xml:space="preserve">           ECTS</w:t>
            </w:r>
            <w:r>
              <w:rPr>
                <w:rFonts w:ascii="Arial" w:eastAsia="Arial" w:hAnsi="Arial" w:cs="Arial"/>
                <w:sz w:val="20"/>
                <w:szCs w:val="20"/>
              </w:rPr>
              <w:tab/>
              <w:t xml:space="preserve">            Code</w:t>
            </w:r>
          </w:p>
          <w:p w:rsidR="00F860AA" w:rsidRDefault="00E1248C" w:rsidP="00E1248C">
            <w:pPr>
              <w:spacing w:after="0"/>
            </w:pPr>
            <w:r>
              <w:rPr>
                <w:rFonts w:ascii="Arial" w:eastAsia="Arial" w:hAnsi="Arial" w:cs="Arial"/>
                <w:sz w:val="20"/>
                <w:szCs w:val="20"/>
              </w:rPr>
              <w:t>MANDATORY (M)                 3</w:t>
            </w:r>
            <w:r>
              <w:rPr>
                <w:rFonts w:ascii="Arial" w:eastAsia="Arial" w:hAnsi="Arial" w:cs="Arial"/>
                <w:sz w:val="20"/>
                <w:szCs w:val="20"/>
              </w:rPr>
              <w:t xml:space="preserve">                          4</w:t>
            </w:r>
            <w:r>
              <w:rPr>
                <w:sz w:val="20"/>
                <w:szCs w:val="20"/>
              </w:rPr>
              <w:tab/>
            </w:r>
            <w:r>
              <w:rPr>
                <w:rFonts w:ascii="Arial" w:eastAsia="Arial" w:hAnsi="Arial" w:cs="Arial"/>
                <w:sz w:val="20"/>
                <w:szCs w:val="20"/>
              </w:rPr>
              <w:t xml:space="preserve">           Law-B-021</w:t>
            </w:r>
          </w:p>
        </w:tc>
      </w:tr>
      <w:tr w:rsidR="00F860AA">
        <w:trPr>
          <w:trHeight w:val="105"/>
        </w:trPr>
        <w:tc>
          <w:tcPr>
            <w:tcW w:w="2520" w:type="dxa"/>
            <w:shd w:val="clear" w:color="auto" w:fill="8DB3E2"/>
          </w:tcPr>
          <w:p w:rsidR="00F860AA" w:rsidRDefault="00E1248C">
            <w:pPr>
              <w:spacing w:after="0"/>
              <w:rPr>
                <w:rFonts w:ascii="Arial" w:eastAsia="Arial" w:hAnsi="Arial" w:cs="Arial"/>
                <w:b/>
                <w:sz w:val="20"/>
                <w:szCs w:val="20"/>
              </w:rPr>
            </w:pPr>
            <w:r>
              <w:rPr>
                <w:rFonts w:ascii="Arial" w:eastAsia="Arial" w:hAnsi="Arial" w:cs="Arial"/>
                <w:b/>
                <w:sz w:val="20"/>
                <w:szCs w:val="20"/>
              </w:rPr>
              <w:t>Lecturer</w:t>
            </w:r>
          </w:p>
          <w:p w:rsidR="00F860AA" w:rsidRDefault="00E1248C">
            <w:pPr>
              <w:spacing w:after="0"/>
              <w:rPr>
                <w:rFonts w:ascii="Arial" w:eastAsia="Arial" w:hAnsi="Arial" w:cs="Arial"/>
                <w:b/>
                <w:sz w:val="20"/>
                <w:szCs w:val="20"/>
              </w:rPr>
            </w:pPr>
            <w:r>
              <w:rPr>
                <w:rFonts w:ascii="Arial" w:eastAsia="Arial" w:hAnsi="Arial" w:cs="Arial"/>
                <w:b/>
                <w:sz w:val="20"/>
                <w:szCs w:val="20"/>
              </w:rPr>
              <w:t>Assistant</w:t>
            </w:r>
          </w:p>
          <w:p w:rsidR="00F860AA" w:rsidRDefault="00F860AA">
            <w:pPr>
              <w:spacing w:after="0"/>
              <w:rPr>
                <w:rFonts w:ascii="Arial" w:eastAsia="Arial" w:hAnsi="Arial" w:cs="Arial"/>
                <w:b/>
                <w:sz w:val="20"/>
                <w:szCs w:val="20"/>
              </w:rPr>
            </w:pPr>
          </w:p>
        </w:tc>
        <w:tc>
          <w:tcPr>
            <w:tcW w:w="7470" w:type="dxa"/>
          </w:tcPr>
          <w:p w:rsidR="00F860AA" w:rsidRDefault="00E1248C">
            <w:pPr>
              <w:spacing w:after="0"/>
            </w:pPr>
            <w:r>
              <w:t>Assistant Professor Dr. Elton Tota</w:t>
            </w:r>
          </w:p>
          <w:p w:rsidR="00E1248C" w:rsidRDefault="00E1248C">
            <w:pPr>
              <w:spacing w:after="0"/>
            </w:pPr>
            <w:r>
              <w:t>Artan Murati PhD Candidate</w:t>
            </w:r>
            <w:bookmarkStart w:id="0" w:name="_GoBack"/>
            <w:bookmarkEnd w:id="0"/>
          </w:p>
        </w:tc>
      </w:tr>
      <w:tr w:rsidR="00F860AA">
        <w:trPr>
          <w:trHeight w:val="105"/>
        </w:trPr>
        <w:tc>
          <w:tcPr>
            <w:tcW w:w="2520" w:type="dxa"/>
            <w:shd w:val="clear" w:color="auto" w:fill="8DB3E2"/>
          </w:tcPr>
          <w:p w:rsidR="00F860AA" w:rsidRDefault="00E1248C">
            <w:r>
              <w:rPr>
                <w:rFonts w:ascii="Arial" w:eastAsia="Arial" w:hAnsi="Arial" w:cs="Arial"/>
                <w:b/>
                <w:sz w:val="20"/>
                <w:szCs w:val="20"/>
              </w:rPr>
              <w:t>Aims and Objectives</w:t>
            </w:r>
          </w:p>
        </w:tc>
        <w:tc>
          <w:tcPr>
            <w:tcW w:w="7470" w:type="dxa"/>
          </w:tcPr>
          <w:p w:rsidR="00F860AA" w:rsidRDefault="00E1248C">
            <w:pPr>
              <w:spacing w:after="0" w:line="240" w:lineRule="auto"/>
              <w:jc w:val="both"/>
              <w:rPr>
                <w:rFonts w:ascii="Arial" w:eastAsia="Arial" w:hAnsi="Arial" w:cs="Arial"/>
                <w:sz w:val="20"/>
                <w:szCs w:val="20"/>
              </w:rPr>
            </w:pPr>
            <w:r>
              <w:rPr>
                <w:rFonts w:ascii="Arial" w:eastAsia="Arial" w:hAnsi="Arial" w:cs="Arial"/>
                <w:sz w:val="20"/>
                <w:szCs w:val="20"/>
              </w:rPr>
              <w:t>This module (EU Law I) provides introductory knowledge in the EU law. The module is composed of two parts. In the first part it is focused on issues concerning the structure and the development of the EU, EU Institutions and the decision - making procedure</w:t>
            </w:r>
            <w:r>
              <w:rPr>
                <w:rFonts w:ascii="Arial" w:eastAsia="Arial" w:hAnsi="Arial" w:cs="Arial"/>
                <w:sz w:val="20"/>
                <w:szCs w:val="20"/>
              </w:rPr>
              <w:t>s and enhanced cooperation, the sources of EU law and the basic principles of EU law. The second part provides insights on the nature of EU legislation, Judicial Protection in the EU and the relations of EU Law with the legislation of Member States and the</w:t>
            </w:r>
            <w:r>
              <w:rPr>
                <w:rFonts w:ascii="Arial" w:eastAsia="Arial" w:hAnsi="Arial" w:cs="Arial"/>
                <w:sz w:val="20"/>
                <w:szCs w:val="20"/>
              </w:rPr>
              <w:t xml:space="preserve"> national courts, EU internal market and the role of European Court of Justice (ECJ), EU Enlargement and the EU Neighborhood Policy. </w:t>
            </w:r>
          </w:p>
          <w:p w:rsidR="00F860AA" w:rsidRDefault="00F860AA">
            <w:pPr>
              <w:spacing w:after="0" w:line="240" w:lineRule="auto"/>
              <w:jc w:val="both"/>
              <w:rPr>
                <w:rFonts w:ascii="Arial" w:eastAsia="Arial" w:hAnsi="Arial" w:cs="Arial"/>
                <w:sz w:val="20"/>
                <w:szCs w:val="20"/>
              </w:rPr>
            </w:pPr>
          </w:p>
        </w:tc>
      </w:tr>
      <w:tr w:rsidR="00F860AA">
        <w:trPr>
          <w:trHeight w:val="105"/>
        </w:trPr>
        <w:tc>
          <w:tcPr>
            <w:tcW w:w="2520" w:type="dxa"/>
            <w:shd w:val="clear" w:color="auto" w:fill="8DB3E2"/>
          </w:tcPr>
          <w:p w:rsidR="00F860AA" w:rsidRDefault="00E1248C">
            <w:r>
              <w:rPr>
                <w:b/>
              </w:rPr>
              <w:t>Learning Outcomes</w:t>
            </w:r>
          </w:p>
        </w:tc>
        <w:tc>
          <w:tcPr>
            <w:tcW w:w="7470" w:type="dxa"/>
          </w:tcPr>
          <w:p w:rsidR="00F860AA" w:rsidRDefault="00E1248C">
            <w:pPr>
              <w:spacing w:after="0" w:line="240" w:lineRule="auto"/>
              <w:jc w:val="both"/>
              <w:rPr>
                <w:rFonts w:ascii="Arial" w:eastAsia="Arial" w:hAnsi="Arial" w:cs="Arial"/>
                <w:sz w:val="20"/>
                <w:szCs w:val="20"/>
              </w:rPr>
            </w:pPr>
            <w:r>
              <w:rPr>
                <w:rFonts w:ascii="Arial" w:eastAsia="Arial" w:hAnsi="Arial" w:cs="Arial"/>
                <w:sz w:val="20"/>
                <w:szCs w:val="20"/>
              </w:rPr>
              <w:t>At the end of the course, students will be able to:</w:t>
            </w:r>
          </w:p>
          <w:p w:rsidR="00F860AA" w:rsidRDefault="00F860AA">
            <w:pPr>
              <w:spacing w:after="0" w:line="240" w:lineRule="auto"/>
              <w:jc w:val="both"/>
              <w:rPr>
                <w:rFonts w:ascii="Arial" w:eastAsia="Arial" w:hAnsi="Arial" w:cs="Arial"/>
                <w:sz w:val="20"/>
                <w:szCs w:val="20"/>
              </w:rPr>
            </w:pPr>
          </w:p>
          <w:p w:rsidR="00F860AA" w:rsidRDefault="00E1248C">
            <w:pPr>
              <w:numPr>
                <w:ilvl w:val="0"/>
                <w:numId w:val="2"/>
              </w:numPr>
              <w:pBdr>
                <w:top w:val="nil"/>
                <w:left w:val="nil"/>
                <w:bottom w:val="nil"/>
                <w:right w:val="nil"/>
                <w:between w:val="nil"/>
              </w:pBdr>
              <w:spacing w:after="0" w:line="240" w:lineRule="auto"/>
              <w:ind w:left="522" w:hanging="270"/>
              <w:jc w:val="both"/>
              <w:rPr>
                <w:rFonts w:ascii="Arial" w:eastAsia="Arial" w:hAnsi="Arial" w:cs="Arial"/>
                <w:color w:val="000000"/>
                <w:sz w:val="20"/>
                <w:szCs w:val="20"/>
              </w:rPr>
            </w:pPr>
            <w:r>
              <w:rPr>
                <w:rFonts w:ascii="Arial" w:eastAsia="Arial" w:hAnsi="Arial" w:cs="Arial"/>
                <w:color w:val="000000"/>
                <w:sz w:val="20"/>
                <w:szCs w:val="20"/>
              </w:rPr>
              <w:t>Understand the functioning of EU institutions and</w:t>
            </w:r>
            <w:r>
              <w:rPr>
                <w:rFonts w:ascii="Arial" w:eastAsia="Arial" w:hAnsi="Arial" w:cs="Arial"/>
                <w:color w:val="000000"/>
                <w:sz w:val="20"/>
                <w:szCs w:val="20"/>
              </w:rPr>
              <w:t xml:space="preserve"> the process of drafting EU legislation, as well as to distinguish the role of each EU institution in the adoption and development of EU law norms.</w:t>
            </w:r>
          </w:p>
          <w:p w:rsidR="00F860AA" w:rsidRDefault="00E1248C">
            <w:pPr>
              <w:numPr>
                <w:ilvl w:val="0"/>
                <w:numId w:val="2"/>
              </w:numPr>
              <w:pBdr>
                <w:top w:val="nil"/>
                <w:left w:val="nil"/>
                <w:bottom w:val="nil"/>
                <w:right w:val="nil"/>
                <w:between w:val="nil"/>
              </w:pBdr>
              <w:spacing w:after="0" w:line="240" w:lineRule="auto"/>
              <w:ind w:left="522" w:hanging="270"/>
              <w:jc w:val="both"/>
              <w:rPr>
                <w:rFonts w:ascii="Arial" w:eastAsia="Arial" w:hAnsi="Arial" w:cs="Arial"/>
                <w:color w:val="000000"/>
                <w:sz w:val="20"/>
                <w:szCs w:val="20"/>
              </w:rPr>
            </w:pPr>
            <w:r>
              <w:rPr>
                <w:rFonts w:ascii="Arial" w:eastAsia="Arial" w:hAnsi="Arial" w:cs="Arial"/>
                <w:color w:val="000000"/>
                <w:sz w:val="20"/>
                <w:szCs w:val="20"/>
              </w:rPr>
              <w:t>Explain and review the impact of EU legislation on national legal systems and how the EU legal system and national law interact (the principles and effect of EU law on national legal systems as well as the legal responsibility of the Member States.)</w:t>
            </w:r>
          </w:p>
          <w:p w:rsidR="00F860AA" w:rsidRDefault="00E1248C">
            <w:pPr>
              <w:numPr>
                <w:ilvl w:val="0"/>
                <w:numId w:val="2"/>
              </w:numPr>
              <w:pBdr>
                <w:top w:val="nil"/>
                <w:left w:val="nil"/>
                <w:bottom w:val="nil"/>
                <w:right w:val="nil"/>
                <w:between w:val="nil"/>
              </w:pBdr>
              <w:spacing w:after="0" w:line="240" w:lineRule="auto"/>
              <w:ind w:left="522" w:hanging="270"/>
              <w:jc w:val="both"/>
              <w:rPr>
                <w:rFonts w:ascii="Arial" w:eastAsia="Arial" w:hAnsi="Arial" w:cs="Arial"/>
                <w:color w:val="000000"/>
                <w:sz w:val="20"/>
                <w:szCs w:val="20"/>
              </w:rPr>
            </w:pPr>
            <w:r>
              <w:rPr>
                <w:rFonts w:ascii="Arial" w:eastAsia="Arial" w:hAnsi="Arial" w:cs="Arial"/>
                <w:color w:val="000000"/>
                <w:sz w:val="20"/>
                <w:szCs w:val="20"/>
              </w:rPr>
              <w:t>Commun</w:t>
            </w:r>
            <w:r>
              <w:rPr>
                <w:rFonts w:ascii="Arial" w:eastAsia="Arial" w:hAnsi="Arial" w:cs="Arial"/>
                <w:color w:val="000000"/>
                <w:sz w:val="20"/>
                <w:szCs w:val="20"/>
              </w:rPr>
              <w:t>icate, present arguments and provide opinions on developments related to the current EU issues such as: functioning and decision-making, enhanced cooperation, EU internal market, EU enlargement, neighborhood policies etc.</w:t>
            </w:r>
          </w:p>
          <w:p w:rsidR="00F860AA" w:rsidRDefault="00E1248C">
            <w:pPr>
              <w:numPr>
                <w:ilvl w:val="0"/>
                <w:numId w:val="2"/>
              </w:numPr>
              <w:pBdr>
                <w:top w:val="nil"/>
                <w:left w:val="nil"/>
                <w:bottom w:val="nil"/>
                <w:right w:val="nil"/>
                <w:between w:val="nil"/>
              </w:pBdr>
              <w:spacing w:after="0" w:line="240" w:lineRule="auto"/>
              <w:ind w:left="522" w:hanging="270"/>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 xml:space="preserve"> Be able to work in team and carry out group projects, collect data, analyze and interpret developments in the EU as well as to draft legal opinions and project legal summaries.</w:t>
            </w:r>
          </w:p>
          <w:p w:rsidR="00F860AA" w:rsidRDefault="00E1248C">
            <w:pPr>
              <w:spacing w:after="0" w:line="240" w:lineRule="auto"/>
              <w:jc w:val="both"/>
              <w:rPr>
                <w:rFonts w:ascii="Arial" w:eastAsia="Arial" w:hAnsi="Arial" w:cs="Arial"/>
                <w:sz w:val="20"/>
                <w:szCs w:val="20"/>
              </w:rPr>
            </w:pPr>
            <w:r>
              <w:rPr>
                <w:rFonts w:ascii="Arial" w:eastAsia="Arial" w:hAnsi="Arial" w:cs="Arial"/>
                <w:sz w:val="20"/>
                <w:szCs w:val="20"/>
              </w:rPr>
              <w:t xml:space="preserve"> </w:t>
            </w:r>
          </w:p>
        </w:tc>
      </w:tr>
      <w:tr w:rsidR="00F860AA">
        <w:trPr>
          <w:trHeight w:val="105"/>
        </w:trPr>
        <w:tc>
          <w:tcPr>
            <w:tcW w:w="2520" w:type="dxa"/>
            <w:shd w:val="clear" w:color="auto" w:fill="8DB3E2"/>
          </w:tcPr>
          <w:p w:rsidR="00F860AA" w:rsidRDefault="00E1248C">
            <w:r>
              <w:rPr>
                <w:b/>
              </w:rPr>
              <w:t>Content</w:t>
            </w:r>
          </w:p>
        </w:tc>
        <w:tc>
          <w:tcPr>
            <w:tcW w:w="7470" w:type="dxa"/>
          </w:tcPr>
          <w:p w:rsidR="00F860AA" w:rsidRDefault="00E1248C">
            <w:pPr>
              <w:shd w:val="clear" w:color="auto" w:fill="8DB3E2"/>
              <w:rPr>
                <w:b/>
              </w:rPr>
            </w:pPr>
            <w:r>
              <w:rPr>
                <w:b/>
              </w:rPr>
              <w:t>Course Plan</w:t>
            </w:r>
            <w:r>
              <w:rPr>
                <w:b/>
              </w:rPr>
              <w:tab/>
              <w:t xml:space="preserve">                                                       </w:t>
            </w:r>
            <w:r>
              <w:rPr>
                <w:b/>
              </w:rPr>
              <w:t xml:space="preserve">                                            Week</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Part – I – </w:t>
            </w:r>
          </w:p>
          <w:p w:rsidR="00F860AA" w:rsidRDefault="00E1248C">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Introduction to the EU/EC Law: Explanation of the Syllabus and Assignments                                                                                    (I)</w:t>
            </w:r>
          </w:p>
          <w:p w:rsidR="00F860AA" w:rsidRDefault="00F860AA">
            <w:pPr>
              <w:pBdr>
                <w:top w:val="nil"/>
                <w:left w:val="nil"/>
                <w:bottom w:val="nil"/>
                <w:right w:val="nil"/>
                <w:between w:val="nil"/>
              </w:pBdr>
              <w:spacing w:after="0" w:line="240" w:lineRule="auto"/>
              <w:ind w:left="720"/>
              <w:rPr>
                <w:rFonts w:ascii="Arial" w:eastAsia="Arial" w:hAnsi="Arial" w:cs="Arial"/>
                <w:color w:val="000000"/>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Structure and Development of the European Union: From Treaty of Paris to the Treaty of Lisbon                                                                           (II) </w:t>
            </w:r>
          </w:p>
          <w:p w:rsidR="00F860AA" w:rsidRDefault="00F860AA">
            <w:pPr>
              <w:spacing w:after="0" w:line="240" w:lineRule="auto"/>
              <w:rPr>
                <w:rFonts w:ascii="Arial" w:eastAsia="Arial" w:hAnsi="Arial" w:cs="Arial"/>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EU institutions and their role in the development of EU law                  (III)</w:t>
            </w:r>
          </w:p>
          <w:p w:rsidR="00F860AA" w:rsidRDefault="00F860AA">
            <w:pPr>
              <w:pBdr>
                <w:top w:val="nil"/>
                <w:left w:val="nil"/>
                <w:bottom w:val="nil"/>
                <w:right w:val="nil"/>
                <w:between w:val="nil"/>
              </w:pBdr>
              <w:spacing w:after="0"/>
              <w:ind w:left="720"/>
              <w:rPr>
                <w:rFonts w:ascii="Arial" w:eastAsia="Arial" w:hAnsi="Arial" w:cs="Arial"/>
                <w:color w:val="000000"/>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Sources and Basic Principles of EC law: Case studies on the applicability of EU Law  </w:t>
            </w:r>
            <w:r>
              <w:rPr>
                <w:rFonts w:ascii="Arial" w:eastAsia="Arial" w:hAnsi="Arial" w:cs="Arial"/>
                <w:i/>
                <w:color w:val="000000"/>
                <w:sz w:val="20"/>
                <w:szCs w:val="20"/>
              </w:rPr>
              <w:t>(Case 6/64 Costa v ENEL, Case 26/62 Van Gend en Loos, Case 14/83 Von Colson, etc)</w:t>
            </w:r>
            <w:r>
              <w:rPr>
                <w:rFonts w:ascii="Arial" w:eastAsia="Arial" w:hAnsi="Arial" w:cs="Arial"/>
                <w:color w:val="000000"/>
                <w:sz w:val="20"/>
                <w:szCs w:val="20"/>
              </w:rPr>
              <w:t xml:space="preserve">      </w:t>
            </w:r>
            <w:r>
              <w:rPr>
                <w:rFonts w:ascii="Arial" w:eastAsia="Arial" w:hAnsi="Arial" w:cs="Arial"/>
                <w:color w:val="000000"/>
                <w:sz w:val="20"/>
                <w:szCs w:val="20"/>
              </w:rPr>
              <w:t xml:space="preserve">                                                          (IV)        </w:t>
            </w:r>
          </w:p>
          <w:p w:rsidR="00F860AA" w:rsidRDefault="00F860AA">
            <w:pPr>
              <w:pBdr>
                <w:top w:val="nil"/>
                <w:left w:val="nil"/>
                <w:bottom w:val="nil"/>
                <w:right w:val="nil"/>
                <w:between w:val="nil"/>
              </w:pBdr>
              <w:spacing w:after="0"/>
              <w:ind w:left="720"/>
              <w:rPr>
                <w:rFonts w:ascii="Arial" w:eastAsia="Arial" w:hAnsi="Arial" w:cs="Arial"/>
                <w:color w:val="000000"/>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Decision – making Procedures in the EU and the Enhanced Cooperation </w:t>
            </w:r>
          </w:p>
          <w:p w:rsidR="00F860AA" w:rsidRDefault="00E1248C">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                                                                                                              (V)  </w:t>
            </w:r>
            <w:r>
              <w:rPr>
                <w:rFonts w:ascii="Arial" w:eastAsia="Arial" w:hAnsi="Arial" w:cs="Arial"/>
                <w:color w:val="000000"/>
                <w:sz w:val="20"/>
                <w:szCs w:val="20"/>
              </w:rPr>
              <w:t xml:space="preserve">                                            </w:t>
            </w: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EU Legislation: Nature of Legislation, Legal Integration and Uniformity of EU law application                                                                                (VI)</w:t>
            </w:r>
          </w:p>
          <w:p w:rsidR="00F860AA" w:rsidRDefault="00F860AA">
            <w:pPr>
              <w:pBdr>
                <w:top w:val="nil"/>
                <w:left w:val="nil"/>
                <w:bottom w:val="nil"/>
                <w:right w:val="nil"/>
                <w:between w:val="nil"/>
              </w:pBdr>
              <w:spacing w:after="0"/>
              <w:ind w:left="720"/>
              <w:rPr>
                <w:rFonts w:ascii="Arial" w:eastAsia="Arial" w:hAnsi="Arial" w:cs="Arial"/>
                <w:color w:val="000000"/>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Colloquiume I                                                                                       (VII)</w:t>
            </w:r>
          </w:p>
          <w:p w:rsidR="00F860AA" w:rsidRDefault="00F860AA">
            <w:pPr>
              <w:spacing w:after="0" w:line="240" w:lineRule="auto"/>
              <w:rPr>
                <w:rFonts w:ascii="Arial" w:eastAsia="Arial" w:hAnsi="Arial" w:cs="Arial"/>
                <w:sz w:val="20"/>
                <w:szCs w:val="20"/>
              </w:rPr>
            </w:pP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Part – II – </w:t>
            </w:r>
          </w:p>
          <w:p w:rsidR="00F860AA" w:rsidRDefault="00F860AA">
            <w:pPr>
              <w:spacing w:after="0" w:line="240" w:lineRule="auto"/>
              <w:rPr>
                <w:rFonts w:ascii="Arial" w:eastAsia="Arial" w:hAnsi="Arial" w:cs="Arial"/>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EU Law and National Courts: Application of EU Law, Preliminary References and National Law                                             </w:t>
            </w:r>
            <w:r>
              <w:rPr>
                <w:rFonts w:ascii="Arial" w:eastAsia="Arial" w:hAnsi="Arial" w:cs="Arial"/>
                <w:color w:val="000000"/>
                <w:sz w:val="20"/>
                <w:szCs w:val="20"/>
              </w:rPr>
              <w:t xml:space="preserve">                (VIII)</w:t>
            </w:r>
          </w:p>
          <w:p w:rsidR="00F860AA" w:rsidRDefault="00F860AA">
            <w:pPr>
              <w:spacing w:after="0" w:line="240" w:lineRule="auto"/>
              <w:rPr>
                <w:rFonts w:ascii="Arial" w:eastAsia="Arial" w:hAnsi="Arial" w:cs="Arial"/>
                <w:sz w:val="20"/>
                <w:szCs w:val="20"/>
              </w:rPr>
            </w:pPr>
          </w:p>
          <w:p w:rsidR="00F860AA" w:rsidRDefault="00E1248C">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European Court of Justice (ECJ): organisation, functioning and its role in the application of the EU Law                                                         (IX)</w:t>
            </w:r>
          </w:p>
          <w:p w:rsidR="00F860AA" w:rsidRDefault="00F860AA">
            <w:pPr>
              <w:pBdr>
                <w:top w:val="nil"/>
                <w:left w:val="nil"/>
                <w:bottom w:val="nil"/>
                <w:right w:val="nil"/>
                <w:between w:val="nil"/>
              </w:pBdr>
              <w:spacing w:after="0"/>
              <w:ind w:left="720"/>
              <w:rPr>
                <w:rFonts w:ascii="Arial" w:eastAsia="Arial" w:hAnsi="Arial" w:cs="Arial"/>
                <w:color w:val="000000"/>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EU Judicial Protection: Judicial Remedies, Judicial Review and Enforcement Actions                                                                            (X)                                                      </w:t>
            </w:r>
          </w:p>
          <w:p w:rsidR="00F860AA" w:rsidRDefault="00F860AA">
            <w:pPr>
              <w:pBdr>
                <w:top w:val="nil"/>
                <w:left w:val="nil"/>
                <w:bottom w:val="nil"/>
                <w:right w:val="nil"/>
                <w:between w:val="nil"/>
              </w:pBdr>
              <w:spacing w:after="0"/>
              <w:ind w:left="720"/>
              <w:rPr>
                <w:rFonts w:ascii="Arial" w:eastAsia="Arial" w:hAnsi="Arial" w:cs="Arial"/>
                <w:color w:val="000000"/>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Internal Market in the EU (Free movemen</w:t>
            </w:r>
            <w:r>
              <w:rPr>
                <w:rFonts w:ascii="Arial" w:eastAsia="Arial" w:hAnsi="Arial" w:cs="Arial"/>
                <w:color w:val="000000"/>
                <w:sz w:val="20"/>
                <w:szCs w:val="20"/>
              </w:rPr>
              <w:t xml:space="preserve">t of four Freedoms): Establishment, principles and ECJ Case law                                       (XI)                                                      </w:t>
            </w:r>
          </w:p>
          <w:p w:rsidR="00F860AA" w:rsidRDefault="00F860AA">
            <w:pPr>
              <w:spacing w:after="0" w:line="240" w:lineRule="auto"/>
              <w:rPr>
                <w:rFonts w:ascii="Arial" w:eastAsia="Arial" w:hAnsi="Arial" w:cs="Arial"/>
                <w:sz w:val="20"/>
                <w:szCs w:val="20"/>
              </w:rPr>
            </w:pPr>
          </w:p>
          <w:p w:rsidR="00F860AA" w:rsidRDefault="00E1248C">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Protection of Human Rights in Europe: ECHR and the EU Legal Order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                                                                                               (XII)                   </w:t>
            </w:r>
          </w:p>
          <w:p w:rsidR="00F860AA" w:rsidRDefault="00E1248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EU Enlargement and EU Neighbourhood Policy                                 (XIII)                                                 </w:t>
            </w:r>
          </w:p>
          <w:p w:rsidR="00F860AA" w:rsidRDefault="00F860AA">
            <w:pPr>
              <w:pBdr>
                <w:top w:val="nil"/>
                <w:left w:val="nil"/>
                <w:bottom w:val="nil"/>
                <w:right w:val="nil"/>
                <w:between w:val="nil"/>
              </w:pBdr>
              <w:spacing w:after="0"/>
              <w:ind w:left="720"/>
              <w:rPr>
                <w:rFonts w:ascii="Arial" w:eastAsia="Arial" w:hAnsi="Arial" w:cs="Arial"/>
                <w:color w:val="000000"/>
                <w:sz w:val="20"/>
                <w:szCs w:val="20"/>
              </w:rPr>
            </w:pPr>
          </w:p>
          <w:p w:rsidR="00F860AA" w:rsidRDefault="00E1248C">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 Colloquiume II                                                                                    (XIV)</w:t>
            </w:r>
          </w:p>
          <w:p w:rsidR="00F860AA" w:rsidRDefault="00F860AA">
            <w:pPr>
              <w:pBdr>
                <w:top w:val="nil"/>
                <w:left w:val="nil"/>
                <w:bottom w:val="nil"/>
                <w:right w:val="nil"/>
                <w:between w:val="nil"/>
              </w:pBdr>
              <w:spacing w:after="0"/>
              <w:ind w:left="720"/>
              <w:rPr>
                <w:rFonts w:ascii="Arial" w:eastAsia="Arial" w:hAnsi="Arial" w:cs="Arial"/>
                <w:color w:val="000000"/>
                <w:sz w:val="20"/>
                <w:szCs w:val="20"/>
              </w:rPr>
            </w:pPr>
          </w:p>
          <w:p w:rsidR="00F860AA" w:rsidRDefault="00E1248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Final Exam                                                                                           (XV)</w:t>
            </w:r>
          </w:p>
        </w:tc>
      </w:tr>
      <w:tr w:rsidR="00F860AA">
        <w:trPr>
          <w:trHeight w:val="105"/>
        </w:trPr>
        <w:tc>
          <w:tcPr>
            <w:tcW w:w="2520" w:type="dxa"/>
            <w:shd w:val="clear" w:color="auto" w:fill="8DB3E2"/>
          </w:tcPr>
          <w:p w:rsidR="00F860AA" w:rsidRDefault="00E1248C">
            <w:r>
              <w:rPr>
                <w:rFonts w:ascii="Arial" w:eastAsia="Arial" w:hAnsi="Arial" w:cs="Arial"/>
                <w:b/>
                <w:sz w:val="20"/>
                <w:szCs w:val="20"/>
              </w:rPr>
              <w:lastRenderedPageBreak/>
              <w:t>Teaching/ Learning Methods</w:t>
            </w:r>
          </w:p>
        </w:tc>
        <w:tc>
          <w:tcPr>
            <w:tcW w:w="7470" w:type="dxa"/>
          </w:tcPr>
          <w:p w:rsidR="00F860AA" w:rsidRDefault="00E1248C">
            <w:pPr>
              <w:shd w:val="clear" w:color="auto" w:fill="8DB3E2"/>
              <w:spacing w:after="0"/>
              <w:rPr>
                <w:rFonts w:ascii="Arial" w:eastAsia="Arial" w:hAnsi="Arial" w:cs="Arial"/>
                <w:b/>
                <w:sz w:val="20"/>
                <w:szCs w:val="20"/>
              </w:rPr>
            </w:pPr>
            <w:r>
              <w:rPr>
                <w:rFonts w:ascii="Arial" w:eastAsia="Arial" w:hAnsi="Arial" w:cs="Arial"/>
                <w:b/>
                <w:sz w:val="20"/>
                <w:szCs w:val="20"/>
              </w:rPr>
              <w:t xml:space="preserve">Teaching/ Learning Activities </w:t>
            </w:r>
            <w:r>
              <w:rPr>
                <w:rFonts w:ascii="Arial" w:eastAsia="Arial" w:hAnsi="Arial" w:cs="Arial"/>
                <w:b/>
                <w:sz w:val="20"/>
                <w:szCs w:val="20"/>
              </w:rPr>
              <w:tab/>
              <w:t xml:space="preserve">                                                            Weight (%)                                                                                                                                                           </w:t>
            </w:r>
            <w:r>
              <w:rPr>
                <w:rFonts w:ascii="Arial" w:eastAsia="Arial" w:hAnsi="Arial" w:cs="Arial"/>
                <w:b/>
                <w:sz w:val="20"/>
                <w:szCs w:val="20"/>
              </w:rPr>
              <w:t xml:space="preserve"> </w:t>
            </w:r>
          </w:p>
          <w:p w:rsidR="00F860AA" w:rsidRDefault="00E1248C">
            <w:pPr>
              <w:spacing w:after="0" w:line="240" w:lineRule="auto"/>
              <w:rPr>
                <w:rFonts w:ascii="Arial" w:eastAsia="Arial" w:hAnsi="Arial" w:cs="Arial"/>
                <w:sz w:val="20"/>
                <w:szCs w:val="20"/>
              </w:rPr>
            </w:pPr>
            <w:r>
              <w:t>1</w:t>
            </w:r>
            <w:r>
              <w:rPr>
                <w:rFonts w:ascii="Arial" w:eastAsia="Arial" w:hAnsi="Arial" w:cs="Arial"/>
                <w:sz w:val="20"/>
                <w:szCs w:val="20"/>
              </w:rPr>
              <w:t>.    Lectures</w:t>
            </w:r>
            <w:r>
              <w:rPr>
                <w:rFonts w:ascii="Arial" w:eastAsia="Arial" w:hAnsi="Arial" w:cs="Arial"/>
                <w:sz w:val="20"/>
                <w:szCs w:val="20"/>
              </w:rPr>
              <w:tab/>
              <w:t xml:space="preserve">                                                                                          40%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2.    Case studies exercises                                      </w:t>
            </w:r>
            <w:r>
              <w:rPr>
                <w:rFonts w:ascii="Arial" w:eastAsia="Arial" w:hAnsi="Arial" w:cs="Arial"/>
                <w:sz w:val="20"/>
                <w:szCs w:val="20"/>
              </w:rPr>
              <w:t xml:space="preserve">                                  20%</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3.    Legal Debates                                                                                      20%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4.    Project legal summaries               </w:t>
            </w:r>
            <w:r>
              <w:rPr>
                <w:rFonts w:ascii="Arial" w:eastAsia="Arial" w:hAnsi="Arial" w:cs="Arial"/>
                <w:sz w:val="20"/>
                <w:szCs w:val="20"/>
              </w:rPr>
              <w:t xml:space="preserve">                                                        10%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5.    Thesis seminars                                                                                   10%</w:t>
            </w:r>
          </w:p>
          <w:p w:rsidR="00F860AA" w:rsidRDefault="00E1248C">
            <w:pPr>
              <w:spacing w:after="0" w:line="240" w:lineRule="auto"/>
            </w:pPr>
            <w:r>
              <w:rPr>
                <w:rFonts w:ascii="Arial" w:eastAsia="Arial" w:hAnsi="Arial" w:cs="Arial"/>
                <w:sz w:val="20"/>
                <w:szCs w:val="20"/>
              </w:rPr>
              <w:t xml:space="preserve">6.    Guest speakers and video Expose/ inserts                   </w:t>
            </w:r>
            <w:r>
              <w:rPr>
                <w:rFonts w:ascii="Arial" w:eastAsia="Arial" w:hAnsi="Arial" w:cs="Arial"/>
                <w:sz w:val="20"/>
                <w:szCs w:val="20"/>
              </w:rPr>
              <w:t xml:space="preserve">       </w:t>
            </w:r>
            <w:r>
              <w:rPr>
                <w:rFonts w:ascii="Arial" w:eastAsia="Arial" w:hAnsi="Arial" w:cs="Arial"/>
                <w:sz w:val="20"/>
                <w:szCs w:val="20"/>
              </w:rPr>
              <w:tab/>
              <w:t xml:space="preserve">                                                 </w:t>
            </w:r>
          </w:p>
        </w:tc>
      </w:tr>
      <w:tr w:rsidR="00F860AA">
        <w:trPr>
          <w:trHeight w:val="105"/>
        </w:trPr>
        <w:tc>
          <w:tcPr>
            <w:tcW w:w="2520" w:type="dxa"/>
            <w:shd w:val="clear" w:color="auto" w:fill="8DB3E2"/>
          </w:tcPr>
          <w:p w:rsidR="00F860AA" w:rsidRDefault="00E1248C">
            <w:pPr>
              <w:rPr>
                <w:rFonts w:ascii="Arial" w:eastAsia="Arial" w:hAnsi="Arial" w:cs="Arial"/>
                <w:sz w:val="20"/>
                <w:szCs w:val="20"/>
              </w:rPr>
            </w:pPr>
            <w:r>
              <w:rPr>
                <w:rFonts w:ascii="Arial" w:eastAsia="Arial" w:hAnsi="Arial" w:cs="Arial"/>
                <w:b/>
                <w:sz w:val="20"/>
                <w:szCs w:val="20"/>
              </w:rPr>
              <w:t>Assesment Methods</w:t>
            </w:r>
          </w:p>
        </w:tc>
        <w:tc>
          <w:tcPr>
            <w:tcW w:w="7470" w:type="dxa"/>
          </w:tcPr>
          <w:p w:rsidR="00F860AA" w:rsidRDefault="00E1248C">
            <w:pPr>
              <w:shd w:val="clear" w:color="auto" w:fill="8DB3E2"/>
              <w:spacing w:after="0"/>
              <w:rPr>
                <w:rFonts w:ascii="Arial" w:eastAsia="Arial" w:hAnsi="Arial" w:cs="Arial"/>
                <w:b/>
                <w:sz w:val="20"/>
                <w:szCs w:val="20"/>
              </w:rPr>
            </w:pPr>
            <w:r>
              <w:rPr>
                <w:rFonts w:ascii="Arial" w:eastAsia="Arial" w:hAnsi="Arial" w:cs="Arial"/>
                <w:b/>
                <w:sz w:val="20"/>
                <w:szCs w:val="20"/>
              </w:rPr>
              <w:t>Assesment Activity</w:t>
            </w:r>
            <w:r>
              <w:rPr>
                <w:rFonts w:ascii="Arial" w:eastAsia="Arial" w:hAnsi="Arial" w:cs="Arial"/>
                <w:b/>
                <w:sz w:val="20"/>
                <w:szCs w:val="20"/>
              </w:rPr>
              <w:tab/>
              <w:t xml:space="preserve">                                Number</w:t>
            </w:r>
            <w:r>
              <w:rPr>
                <w:rFonts w:ascii="Arial" w:eastAsia="Arial" w:hAnsi="Arial" w:cs="Arial"/>
                <w:b/>
                <w:sz w:val="20"/>
                <w:szCs w:val="20"/>
              </w:rPr>
              <w:tab/>
              <w:t xml:space="preserve">   Week        Weight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1.     Colloquiumes            </w:t>
            </w:r>
            <w:r>
              <w:rPr>
                <w:rFonts w:ascii="Arial" w:eastAsia="Arial" w:hAnsi="Arial" w:cs="Arial"/>
                <w:sz w:val="20"/>
                <w:szCs w:val="20"/>
              </w:rPr>
              <w:tab/>
              <w:t xml:space="preserve">                           2             7,14               40%</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2.     Exercises                                                       12           1-6/8-13         20%        </w:t>
            </w:r>
          </w:p>
          <w:p w:rsidR="00F860AA" w:rsidRDefault="00E1248C">
            <w:pPr>
              <w:spacing w:after="0" w:line="240" w:lineRule="auto"/>
              <w:rPr>
                <w:rFonts w:ascii="Arial" w:eastAsia="Arial" w:hAnsi="Arial" w:cs="Arial"/>
                <w:color w:val="0070C0"/>
                <w:sz w:val="20"/>
                <w:szCs w:val="20"/>
              </w:rPr>
            </w:pPr>
            <w:r>
              <w:rPr>
                <w:rFonts w:ascii="Arial" w:eastAsia="Arial" w:hAnsi="Arial" w:cs="Arial"/>
                <w:sz w:val="20"/>
                <w:szCs w:val="20"/>
              </w:rPr>
              <w:t xml:space="preserve">3.     Legal debates/ Active Participation                              1-6/8-13          20%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4.     Project legal su</w:t>
            </w:r>
            <w:r>
              <w:rPr>
                <w:rFonts w:ascii="Arial" w:eastAsia="Arial" w:hAnsi="Arial" w:cs="Arial"/>
                <w:sz w:val="20"/>
                <w:szCs w:val="20"/>
              </w:rPr>
              <w:t>mmaries                                               7,14                20%                 5.     Seminar Paper                                               1             15                 100%</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6.     Final Exam                                                                    15                 100%</w:t>
            </w:r>
          </w:p>
        </w:tc>
      </w:tr>
      <w:tr w:rsidR="00F860AA">
        <w:trPr>
          <w:trHeight w:val="105"/>
        </w:trPr>
        <w:tc>
          <w:tcPr>
            <w:tcW w:w="2520" w:type="dxa"/>
            <w:shd w:val="clear" w:color="auto" w:fill="8DB3E2"/>
          </w:tcPr>
          <w:p w:rsidR="00F860AA" w:rsidRDefault="00E1248C">
            <w:pPr>
              <w:rPr>
                <w:rFonts w:ascii="Arial" w:eastAsia="Arial" w:hAnsi="Arial" w:cs="Arial"/>
                <w:sz w:val="20"/>
                <w:szCs w:val="20"/>
              </w:rPr>
            </w:pPr>
            <w:r>
              <w:rPr>
                <w:rFonts w:ascii="Arial" w:eastAsia="Arial" w:hAnsi="Arial" w:cs="Arial"/>
                <w:b/>
                <w:sz w:val="20"/>
                <w:szCs w:val="20"/>
              </w:rPr>
              <w:t xml:space="preserve">Sources and tools of concretization      </w:t>
            </w:r>
          </w:p>
        </w:tc>
        <w:tc>
          <w:tcPr>
            <w:tcW w:w="7470" w:type="dxa"/>
          </w:tcPr>
          <w:p w:rsidR="00F860AA" w:rsidRDefault="00E1248C">
            <w:pPr>
              <w:shd w:val="clear" w:color="auto" w:fill="8DB3E2"/>
              <w:spacing w:after="0"/>
              <w:rPr>
                <w:rFonts w:ascii="Arial" w:eastAsia="Arial" w:hAnsi="Arial" w:cs="Arial"/>
                <w:b/>
                <w:sz w:val="20"/>
                <w:szCs w:val="20"/>
              </w:rPr>
            </w:pPr>
            <w:r>
              <w:rPr>
                <w:rFonts w:ascii="Arial" w:eastAsia="Arial" w:hAnsi="Arial" w:cs="Arial"/>
                <w:b/>
                <w:sz w:val="20"/>
                <w:szCs w:val="20"/>
              </w:rPr>
              <w:t xml:space="preserve">Tools                </w:t>
            </w:r>
            <w:r>
              <w:rPr>
                <w:rFonts w:ascii="Arial" w:eastAsia="Arial" w:hAnsi="Arial" w:cs="Arial"/>
                <w:b/>
                <w:sz w:val="20"/>
                <w:szCs w:val="20"/>
              </w:rPr>
              <w:tab/>
              <w:t xml:space="preserve">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 xml:space="preserve">  Classroom Lectures</w:t>
            </w:r>
            <w:r>
              <w:rPr>
                <w:rFonts w:ascii="Arial" w:eastAsia="Arial" w:hAnsi="Arial" w:cs="Arial"/>
                <w:sz w:val="20"/>
                <w:szCs w:val="20"/>
              </w:rPr>
              <w:tab/>
              <w:t xml:space="preserve">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2.     Literature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3.     Moodle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4.     Projector </w:t>
            </w:r>
            <w:r>
              <w:rPr>
                <w:rFonts w:ascii="Arial" w:eastAsia="Arial" w:hAnsi="Arial" w:cs="Arial"/>
                <w:sz w:val="20"/>
                <w:szCs w:val="20"/>
              </w:rPr>
              <w:tab/>
            </w:r>
          </w:p>
        </w:tc>
      </w:tr>
      <w:tr w:rsidR="00F860AA">
        <w:trPr>
          <w:trHeight w:val="105"/>
        </w:trPr>
        <w:tc>
          <w:tcPr>
            <w:tcW w:w="2520" w:type="dxa"/>
            <w:shd w:val="clear" w:color="auto" w:fill="8DB3E2"/>
          </w:tcPr>
          <w:p w:rsidR="00F860AA" w:rsidRDefault="00E1248C">
            <w:pPr>
              <w:rPr>
                <w:rFonts w:ascii="Arial" w:eastAsia="Arial" w:hAnsi="Arial" w:cs="Arial"/>
                <w:sz w:val="20"/>
                <w:szCs w:val="20"/>
              </w:rPr>
            </w:pPr>
            <w:r>
              <w:rPr>
                <w:rFonts w:ascii="Arial" w:eastAsia="Arial" w:hAnsi="Arial" w:cs="Arial"/>
                <w:b/>
                <w:sz w:val="20"/>
                <w:szCs w:val="20"/>
              </w:rPr>
              <w:t>Workload and activities</w:t>
            </w:r>
          </w:p>
        </w:tc>
        <w:tc>
          <w:tcPr>
            <w:tcW w:w="7470" w:type="dxa"/>
          </w:tcPr>
          <w:p w:rsidR="00F860AA" w:rsidRDefault="00E1248C">
            <w:pPr>
              <w:spacing w:after="0"/>
              <w:rPr>
                <w:rFonts w:ascii="Arial" w:eastAsia="Arial" w:hAnsi="Arial" w:cs="Arial"/>
                <w:b/>
                <w:sz w:val="20"/>
                <w:szCs w:val="20"/>
              </w:rPr>
            </w:pPr>
            <w:r>
              <w:rPr>
                <w:rFonts w:ascii="Arial" w:eastAsia="Arial" w:hAnsi="Arial" w:cs="Arial"/>
                <w:b/>
                <w:sz w:val="20"/>
                <w:szCs w:val="20"/>
                <w:shd w:val="clear" w:color="auto" w:fill="8DB3E2"/>
              </w:rPr>
              <w:t xml:space="preserve">Activity                                                                 Weekly hrs        Total workload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1.     Lectures</w:t>
            </w:r>
            <w:r>
              <w:rPr>
                <w:rFonts w:ascii="Arial" w:eastAsia="Arial" w:hAnsi="Arial" w:cs="Arial"/>
                <w:sz w:val="20"/>
                <w:szCs w:val="20"/>
              </w:rPr>
              <w:tab/>
              <w:t xml:space="preserve">                                                                   2                      30h                                     </w:t>
            </w:r>
            <w:r>
              <w:rPr>
                <w:rFonts w:ascii="Arial" w:eastAsia="Arial" w:hAnsi="Arial" w:cs="Arial"/>
                <w:sz w:val="20"/>
                <w:szCs w:val="20"/>
              </w:rPr>
              <w:t xml:space="preserve">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2.     Exercises                                                                     1                      15h</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3.     Contacts/ Consultations with lecturer                                                   5h  </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4.     Independent study/ work at home and library              2                      25h</w:t>
            </w:r>
          </w:p>
          <w:p w:rsidR="00F860AA" w:rsidRDefault="00E1248C">
            <w:pPr>
              <w:spacing w:after="0" w:line="240" w:lineRule="auto"/>
              <w:rPr>
                <w:rFonts w:ascii="Arial" w:eastAsia="Arial" w:hAnsi="Arial" w:cs="Arial"/>
                <w:sz w:val="20"/>
                <w:szCs w:val="20"/>
              </w:rPr>
            </w:pPr>
            <w:r>
              <w:rPr>
                <w:rFonts w:ascii="Arial" w:eastAsia="Arial" w:hAnsi="Arial" w:cs="Arial"/>
                <w:sz w:val="20"/>
                <w:szCs w:val="20"/>
              </w:rPr>
              <w:t xml:space="preserve">5.     Preparation for final writen exam                                 2                      25h                                                                  </w:t>
            </w:r>
            <w:r>
              <w:rPr>
                <w:rFonts w:ascii="Arial" w:eastAsia="Arial" w:hAnsi="Arial" w:cs="Arial"/>
                <w:sz w:val="20"/>
                <w:szCs w:val="20"/>
              </w:rPr>
              <w:t xml:space="preserve">                                                                                                     </w:t>
            </w:r>
          </w:p>
        </w:tc>
      </w:tr>
      <w:tr w:rsidR="00F860AA">
        <w:trPr>
          <w:trHeight w:val="105"/>
        </w:trPr>
        <w:tc>
          <w:tcPr>
            <w:tcW w:w="2520" w:type="dxa"/>
            <w:shd w:val="clear" w:color="auto" w:fill="8DB3E2"/>
          </w:tcPr>
          <w:p w:rsidR="00F860AA" w:rsidRDefault="00E1248C">
            <w:r>
              <w:rPr>
                <w:rFonts w:ascii="Arial" w:eastAsia="Arial" w:hAnsi="Arial" w:cs="Arial"/>
                <w:b/>
                <w:sz w:val="20"/>
                <w:szCs w:val="20"/>
              </w:rPr>
              <w:t>Literature / Referencies</w:t>
            </w:r>
          </w:p>
        </w:tc>
        <w:tc>
          <w:tcPr>
            <w:tcW w:w="7470" w:type="dxa"/>
          </w:tcPr>
          <w:p w:rsidR="00F860AA" w:rsidRDefault="00E1248C">
            <w:pPr>
              <w:spacing w:after="0" w:line="240" w:lineRule="auto"/>
              <w:rPr>
                <w:rFonts w:ascii="Arial" w:eastAsia="Arial" w:hAnsi="Arial" w:cs="Arial"/>
                <w:b/>
                <w:sz w:val="20"/>
                <w:szCs w:val="20"/>
              </w:rPr>
            </w:pPr>
            <w:r>
              <w:rPr>
                <w:rFonts w:ascii="Arial" w:eastAsia="Arial" w:hAnsi="Arial" w:cs="Arial"/>
                <w:b/>
                <w:sz w:val="20"/>
                <w:szCs w:val="20"/>
              </w:rPr>
              <w:t>Basic Literature:</w:t>
            </w:r>
          </w:p>
          <w:p w:rsidR="00F860AA" w:rsidRDefault="00F860AA">
            <w:pPr>
              <w:pBdr>
                <w:top w:val="nil"/>
                <w:left w:val="nil"/>
                <w:bottom w:val="nil"/>
                <w:right w:val="nil"/>
                <w:between w:val="nil"/>
              </w:pBdr>
              <w:spacing w:after="0" w:line="240" w:lineRule="auto"/>
              <w:ind w:left="342"/>
              <w:jc w:val="both"/>
              <w:rPr>
                <w:rFonts w:ascii="Arial" w:eastAsia="Arial" w:hAnsi="Arial" w:cs="Arial"/>
                <w:color w:val="000000"/>
                <w:sz w:val="20"/>
                <w:szCs w:val="20"/>
              </w:rPr>
            </w:pP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Bernard, Chaterine, </w:t>
            </w:r>
            <w:r>
              <w:rPr>
                <w:rFonts w:ascii="Arial" w:eastAsia="Arial" w:hAnsi="Arial" w:cs="Arial"/>
                <w:i/>
                <w:color w:val="000000"/>
                <w:sz w:val="20"/>
                <w:szCs w:val="20"/>
              </w:rPr>
              <w:t>“The Substantive Law of the EU: The Four Freedoms”</w:t>
            </w:r>
            <w:r>
              <w:rPr>
                <w:rFonts w:ascii="Arial" w:eastAsia="Arial" w:hAnsi="Arial" w:cs="Arial"/>
                <w:color w:val="000000"/>
                <w:sz w:val="20"/>
                <w:szCs w:val="20"/>
              </w:rPr>
              <w:t xml:space="preserve">, seventh Edition, Oxford University Press, 2022. </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Çınar, Özgür Heval,</w:t>
            </w:r>
            <w:r>
              <w:rPr>
                <w:rFonts w:ascii="Arial" w:eastAsia="Arial" w:hAnsi="Arial" w:cs="Arial"/>
                <w:i/>
                <w:color w:val="000000"/>
                <w:sz w:val="20"/>
                <w:szCs w:val="20"/>
              </w:rPr>
              <w:t xml:space="preserve"> “Introduction to EU Law: Revision Guide”</w:t>
            </w:r>
            <w:r>
              <w:rPr>
                <w:rFonts w:ascii="Arial" w:eastAsia="Arial" w:hAnsi="Arial" w:cs="Arial"/>
                <w:color w:val="000000"/>
                <w:sz w:val="20"/>
                <w:szCs w:val="20"/>
              </w:rPr>
              <w:t>, Transnational Press London, 2021.</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Bernard, Chaterine, Peers, Steve, </w:t>
            </w:r>
            <w:r>
              <w:rPr>
                <w:rFonts w:ascii="Arial" w:eastAsia="Arial" w:hAnsi="Arial" w:cs="Arial"/>
                <w:i/>
                <w:color w:val="000000"/>
                <w:sz w:val="20"/>
                <w:szCs w:val="20"/>
              </w:rPr>
              <w:t>“European Union Law”</w:t>
            </w:r>
            <w:r>
              <w:rPr>
                <w:rFonts w:ascii="Arial" w:eastAsia="Arial" w:hAnsi="Arial" w:cs="Arial"/>
                <w:color w:val="000000"/>
                <w:sz w:val="20"/>
                <w:szCs w:val="20"/>
              </w:rPr>
              <w:t xml:space="preserve">, second Edition, Oxford University Press, 2017. </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Herlin-Karnell, Ester, Conway, Gerard, Ganesh Aravind,</w:t>
            </w:r>
            <w:r>
              <w:rPr>
                <w:rFonts w:ascii="Arial" w:eastAsia="Arial" w:hAnsi="Arial" w:cs="Arial"/>
                <w:i/>
                <w:color w:val="000000"/>
                <w:sz w:val="20"/>
                <w:szCs w:val="20"/>
              </w:rPr>
              <w:t xml:space="preserve"> “European Union Law in Context”</w:t>
            </w:r>
            <w:r>
              <w:rPr>
                <w:rFonts w:ascii="Arial" w:eastAsia="Arial" w:hAnsi="Arial" w:cs="Arial"/>
                <w:color w:val="000000"/>
                <w:sz w:val="20"/>
                <w:szCs w:val="20"/>
              </w:rPr>
              <w:t>,</w:t>
            </w:r>
            <w:r>
              <w:rPr>
                <w:color w:val="000000"/>
              </w:rPr>
              <w:t xml:space="preserve"> </w:t>
            </w:r>
            <w:r>
              <w:rPr>
                <w:rFonts w:ascii="Arial" w:eastAsia="Arial" w:hAnsi="Arial" w:cs="Arial"/>
                <w:color w:val="000000"/>
                <w:sz w:val="20"/>
                <w:szCs w:val="20"/>
              </w:rPr>
              <w:t>Bloomsbury Publishing, 2021</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Canaj, Erjona, </w:t>
            </w:r>
            <w:r>
              <w:rPr>
                <w:rFonts w:ascii="Arial" w:eastAsia="Arial" w:hAnsi="Arial" w:cs="Arial"/>
                <w:i/>
                <w:color w:val="000000"/>
                <w:sz w:val="20"/>
                <w:szCs w:val="20"/>
              </w:rPr>
              <w:t>“Lëvizja e Lirë e Personave në Bashkimin Evropian”</w:t>
            </w:r>
            <w:r>
              <w:rPr>
                <w:rFonts w:ascii="Arial" w:eastAsia="Arial" w:hAnsi="Arial" w:cs="Arial"/>
                <w:color w:val="000000"/>
                <w:sz w:val="20"/>
                <w:szCs w:val="20"/>
              </w:rPr>
              <w:t xml:space="preserve">, UET Press, 2014. </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Canaj, Erjona, Bana, Sokol, </w:t>
            </w:r>
            <w:r>
              <w:rPr>
                <w:rFonts w:ascii="Arial" w:eastAsia="Arial" w:hAnsi="Arial" w:cs="Arial"/>
                <w:i/>
                <w:color w:val="000000"/>
                <w:sz w:val="20"/>
                <w:szCs w:val="20"/>
              </w:rPr>
              <w:t>“E Drejta e Bashkimit Evrop</w:t>
            </w:r>
            <w:r>
              <w:rPr>
                <w:rFonts w:ascii="Arial" w:eastAsia="Arial" w:hAnsi="Arial" w:cs="Arial"/>
                <w:i/>
                <w:color w:val="000000"/>
                <w:sz w:val="20"/>
                <w:szCs w:val="20"/>
              </w:rPr>
              <w:t>ian”</w:t>
            </w:r>
            <w:r>
              <w:rPr>
                <w:rFonts w:ascii="Arial" w:eastAsia="Arial" w:hAnsi="Arial" w:cs="Arial"/>
                <w:color w:val="000000"/>
                <w:sz w:val="20"/>
                <w:szCs w:val="20"/>
              </w:rPr>
              <w:t>, 2010.</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Tota, Elton, </w:t>
            </w:r>
            <w:r>
              <w:rPr>
                <w:rFonts w:ascii="Arial" w:eastAsia="Arial" w:hAnsi="Arial" w:cs="Arial"/>
                <w:i/>
                <w:color w:val="000000"/>
                <w:sz w:val="20"/>
                <w:szCs w:val="20"/>
              </w:rPr>
              <w:t>“EU Enlargement and Its Impact to the Western Balkans”</w:t>
            </w:r>
            <w:r>
              <w:rPr>
                <w:rFonts w:ascii="Arial" w:eastAsia="Arial" w:hAnsi="Arial" w:cs="Arial"/>
                <w:color w:val="000000"/>
                <w:sz w:val="20"/>
                <w:szCs w:val="20"/>
              </w:rPr>
              <w:t>, Logos Verlag Berlin, ISBN-13: 978-3832549640, 2019.</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Tota, Elton, </w:t>
            </w:r>
            <w:r>
              <w:rPr>
                <w:rFonts w:ascii="Arial" w:eastAsia="Arial" w:hAnsi="Arial" w:cs="Arial"/>
                <w:i/>
                <w:color w:val="000000"/>
                <w:sz w:val="20"/>
                <w:szCs w:val="20"/>
              </w:rPr>
              <w:t>“Refocusing the European Union attention on the Western Balkans: the impact of the Berlin Process”</w:t>
            </w:r>
            <w:r>
              <w:rPr>
                <w:rFonts w:ascii="Arial" w:eastAsia="Arial" w:hAnsi="Arial" w:cs="Arial"/>
                <w:color w:val="000000"/>
                <w:sz w:val="20"/>
                <w:szCs w:val="20"/>
              </w:rPr>
              <w:t>, Journal of</w:t>
            </w:r>
            <w:r>
              <w:rPr>
                <w:rFonts w:ascii="Arial" w:eastAsia="Arial" w:hAnsi="Arial" w:cs="Arial"/>
                <w:color w:val="000000"/>
                <w:sz w:val="20"/>
                <w:szCs w:val="20"/>
              </w:rPr>
              <w:t xml:space="preserve"> Liberty and International Affairs | Vol. 6, No. 2, 2020. </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Davies, Karen, </w:t>
            </w:r>
            <w:r>
              <w:rPr>
                <w:rFonts w:ascii="Arial" w:eastAsia="Arial" w:hAnsi="Arial" w:cs="Arial"/>
                <w:i/>
                <w:color w:val="000000"/>
                <w:sz w:val="20"/>
                <w:szCs w:val="20"/>
              </w:rPr>
              <w:t>“Understanding European Union Law”</w:t>
            </w:r>
            <w:r>
              <w:rPr>
                <w:rFonts w:ascii="Arial" w:eastAsia="Arial" w:hAnsi="Arial" w:cs="Arial"/>
                <w:color w:val="000000"/>
                <w:sz w:val="20"/>
                <w:szCs w:val="20"/>
              </w:rPr>
              <w:t>, Routledge, 2016.</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Lazowski, Adam, Bushati Gugu, Aida, </w:t>
            </w:r>
            <w:r>
              <w:rPr>
                <w:rFonts w:ascii="Arial" w:eastAsia="Arial" w:hAnsi="Arial" w:cs="Arial"/>
                <w:i/>
                <w:color w:val="000000"/>
                <w:sz w:val="20"/>
                <w:szCs w:val="20"/>
              </w:rPr>
              <w:t xml:space="preserve">“Bazat e së Drejtës Evropiane, Me përmbledhje vendimesh nga Gjykata e Drejtësisë e Bashkimit </w:t>
            </w:r>
            <w:r>
              <w:rPr>
                <w:rFonts w:ascii="Arial" w:eastAsia="Arial" w:hAnsi="Arial" w:cs="Arial"/>
                <w:i/>
                <w:color w:val="000000"/>
                <w:sz w:val="20"/>
                <w:szCs w:val="20"/>
              </w:rPr>
              <w:t>Evropian”</w:t>
            </w:r>
            <w:r>
              <w:rPr>
                <w:rFonts w:ascii="Arial" w:eastAsia="Arial" w:hAnsi="Arial" w:cs="Arial"/>
                <w:color w:val="000000"/>
                <w:sz w:val="20"/>
                <w:szCs w:val="20"/>
              </w:rPr>
              <w:t xml:space="preserve">, Tiranë, 2014. </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De Witte, Bruno,</w:t>
            </w:r>
            <w:r>
              <w:rPr>
                <w:rFonts w:ascii="Arial" w:eastAsia="Arial" w:hAnsi="Arial" w:cs="Arial"/>
                <w:i/>
                <w:color w:val="000000"/>
                <w:sz w:val="20"/>
                <w:szCs w:val="20"/>
              </w:rPr>
              <w:t xml:space="preserve"> “National Courts and EU Law”</w:t>
            </w:r>
            <w:r>
              <w:rPr>
                <w:rFonts w:ascii="Arial" w:eastAsia="Arial" w:hAnsi="Arial" w:cs="Arial"/>
                <w:color w:val="000000"/>
                <w:sz w:val="20"/>
                <w:szCs w:val="20"/>
              </w:rPr>
              <w:t>, 2016</w:t>
            </w:r>
          </w:p>
          <w:p w:rsidR="00F860AA" w:rsidRDefault="00E1248C">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Traktati i Bashkimit Evropian/Lisbon</w:t>
            </w:r>
            <w:r>
              <w:rPr>
                <w:rFonts w:ascii="Arial" w:eastAsia="Arial" w:hAnsi="Arial" w:cs="Arial"/>
                <w:i/>
                <w:color w:val="000000"/>
                <w:sz w:val="20"/>
                <w:szCs w:val="20"/>
              </w:rPr>
              <w:t>ë</w:t>
            </w:r>
            <w:r>
              <w:rPr>
                <w:rFonts w:ascii="Arial" w:eastAsia="Arial" w:hAnsi="Arial" w:cs="Arial"/>
                <w:color w:val="000000"/>
                <w:sz w:val="20"/>
                <w:szCs w:val="20"/>
              </w:rPr>
              <w:t>s (TBE), 2007.</w:t>
            </w:r>
          </w:p>
          <w:p w:rsidR="00F860AA" w:rsidRDefault="00E1248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Foster, Nigel, Blackstone's EU Treaties &amp; Legislation 2012-2013 (Blackstone's Statutes), Oxford University Press, USA, 2012.</w:t>
            </w:r>
          </w:p>
          <w:p w:rsidR="00F860AA" w:rsidRDefault="00E1248C">
            <w:pPr>
              <w:pBdr>
                <w:top w:val="nil"/>
                <w:left w:val="nil"/>
                <w:bottom w:val="nil"/>
                <w:right w:val="nil"/>
                <w:between w:val="nil"/>
              </w:pBdr>
              <w:ind w:left="432"/>
              <w:rPr>
                <w:rFonts w:ascii="Arial" w:eastAsia="Arial" w:hAnsi="Arial" w:cs="Arial"/>
                <w:color w:val="000000"/>
                <w:sz w:val="20"/>
                <w:szCs w:val="20"/>
              </w:rPr>
            </w:pPr>
            <w:r>
              <w:rPr>
                <w:rFonts w:ascii="Arial" w:eastAsia="Arial" w:hAnsi="Arial" w:cs="Arial"/>
                <w:color w:val="000000"/>
                <w:sz w:val="20"/>
                <w:szCs w:val="20"/>
              </w:rPr>
              <w:t>Foster, Nigel, EU Law Directions, Oxford University Press, USA, 2012.</w:t>
            </w:r>
          </w:p>
        </w:tc>
      </w:tr>
      <w:tr w:rsidR="00F860AA">
        <w:trPr>
          <w:trHeight w:val="105"/>
        </w:trPr>
        <w:tc>
          <w:tcPr>
            <w:tcW w:w="2520" w:type="dxa"/>
            <w:shd w:val="clear" w:color="auto" w:fill="8DB3E2"/>
          </w:tcPr>
          <w:p w:rsidR="00F860AA" w:rsidRDefault="00E1248C">
            <w:pPr>
              <w:rPr>
                <w:rFonts w:ascii="Arial" w:eastAsia="Arial" w:hAnsi="Arial" w:cs="Arial"/>
                <w:b/>
                <w:sz w:val="20"/>
                <w:szCs w:val="20"/>
              </w:rPr>
            </w:pPr>
            <w:r>
              <w:rPr>
                <w:rFonts w:ascii="Arial" w:eastAsia="Arial" w:hAnsi="Arial" w:cs="Arial"/>
                <w:b/>
                <w:sz w:val="20"/>
                <w:szCs w:val="20"/>
              </w:rPr>
              <w:lastRenderedPageBreak/>
              <w:t>Contact:</w:t>
            </w:r>
          </w:p>
        </w:tc>
        <w:tc>
          <w:tcPr>
            <w:tcW w:w="7470" w:type="dxa"/>
          </w:tcPr>
          <w:p w:rsidR="00F860AA" w:rsidRDefault="00E1248C">
            <w:pPr>
              <w:rPr>
                <w:rFonts w:ascii="Arial" w:eastAsia="Arial" w:hAnsi="Arial" w:cs="Arial"/>
                <w:sz w:val="20"/>
                <w:szCs w:val="20"/>
              </w:rPr>
            </w:pPr>
            <w:hyperlink r:id="rId7">
              <w:r>
                <w:rPr>
                  <w:rFonts w:ascii="Arial" w:eastAsia="Arial" w:hAnsi="Arial" w:cs="Arial"/>
                  <w:color w:val="0000FF"/>
                  <w:sz w:val="20"/>
                  <w:szCs w:val="20"/>
                  <w:u w:val="single"/>
                </w:rPr>
                <w:t>elton.tota@ubt-uni.net</w:t>
              </w:r>
            </w:hyperlink>
          </w:p>
        </w:tc>
      </w:tr>
    </w:tbl>
    <w:p w:rsidR="00F860AA" w:rsidRDefault="00F860AA"/>
    <w:sectPr w:rsidR="00F860AA">
      <w:pgSz w:w="12240" w:h="15840"/>
      <w:pgMar w:top="45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3B76"/>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3C0618"/>
    <w:multiLevelType w:val="multilevel"/>
    <w:tmpl w:val="EB9A3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A24B4C"/>
    <w:multiLevelType w:val="multilevel"/>
    <w:tmpl w:val="D4427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AA"/>
    <w:rsid w:val="000A76AE"/>
    <w:rsid w:val="00E1248C"/>
    <w:rsid w:val="00F8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5B8A1-CA6D-4AB5-899E-3EE94705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5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07"/>
    <w:rPr>
      <w:rFonts w:ascii="Tahoma" w:hAnsi="Tahoma" w:cs="Tahoma"/>
      <w:sz w:val="16"/>
      <w:szCs w:val="16"/>
      <w:lang w:val="sq-AL"/>
    </w:rPr>
  </w:style>
  <w:style w:type="paragraph" w:styleId="ListParagraph">
    <w:name w:val="List Paragraph"/>
    <w:basedOn w:val="Normal"/>
    <w:uiPriority w:val="34"/>
    <w:qFormat/>
    <w:rsid w:val="00930452"/>
    <w:pPr>
      <w:ind w:left="720"/>
      <w:contextualSpacing/>
    </w:pPr>
  </w:style>
  <w:style w:type="character" w:customStyle="1" w:styleId="product-attr">
    <w:name w:val="product-attr"/>
    <w:basedOn w:val="DefaultParagraphFont"/>
    <w:rsid w:val="00281EB5"/>
  </w:style>
  <w:style w:type="character" w:styleId="Hyperlink">
    <w:name w:val="Hyperlink"/>
    <w:basedOn w:val="DefaultParagraphFont"/>
    <w:uiPriority w:val="99"/>
    <w:unhideWhenUsed/>
    <w:rsid w:val="00E43A2B"/>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ton.tota@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6EfZ90Bf2swpTZvIpJLhPW9adg==">AMUW2mVZ28Nxcm0DOqnBaOcOD8NB1UfWmovPO7Y1+wbk1Rw5AsB/49dAn2gDQKlPZzAbP2hytAOvt6ImpSa8n+c9m5vVvoLljYQEj06/hGYKTTOiRS8jEiW7YUhQwy3ymjcl7hEGGYfp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7766</Characters>
  <Application>Microsoft Office Word</Application>
  <DocSecurity>0</DocSecurity>
  <Lines>597</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3</cp:revision>
  <dcterms:created xsi:type="dcterms:W3CDTF">2023-01-19T11:19:00Z</dcterms:created>
  <dcterms:modified xsi:type="dcterms:W3CDTF">2023-01-19T11:21:00Z</dcterms:modified>
</cp:coreProperties>
</file>