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D8AE" w14:textId="77777777" w:rsidR="00AB4337" w:rsidRDefault="00AB4337" w:rsidP="000C6AB8">
      <w:pPr>
        <w:jc w:val="center"/>
        <w:rPr>
          <w:rFonts w:ascii="Swis721 Cn BT" w:hAnsi="Swis721 Cn BT"/>
        </w:rPr>
      </w:pPr>
    </w:p>
    <w:p w14:paraId="68437ADA" w14:textId="77777777" w:rsidR="00C659FD" w:rsidRDefault="00C659FD" w:rsidP="000C6AB8">
      <w:pPr>
        <w:jc w:val="center"/>
        <w:rPr>
          <w:rFonts w:ascii="Swis721 Cn BT" w:hAnsi="Swis721 Cn BT"/>
        </w:rPr>
      </w:pPr>
    </w:p>
    <w:p w14:paraId="7FCCEFC2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val="en-US"/>
        </w:rPr>
        <w:drawing>
          <wp:inline distT="0" distB="0" distL="0" distR="0" wp14:anchorId="5DF2BE79" wp14:editId="44821DF8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6DB43" w14:textId="72146925" w:rsidR="00AB4337" w:rsidRPr="00AB4337" w:rsidRDefault="001C3973" w:rsidP="00AB43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LLB </w:t>
      </w:r>
      <w:r w:rsidR="00B41C69">
        <w:rPr>
          <w:rFonts w:ascii="Tahoma" w:hAnsi="Tahoma" w:cs="Tahoma"/>
          <w:b/>
          <w:sz w:val="24"/>
          <w:szCs w:val="24"/>
        </w:rPr>
        <w:t>LAW</w:t>
      </w:r>
    </w:p>
    <w:p w14:paraId="2BE687DC" w14:textId="77777777" w:rsidR="000C6AB8" w:rsidRPr="00E12F51" w:rsidRDefault="00B27B0F" w:rsidP="000C6AB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Sy</w:t>
      </w:r>
      <w:r w:rsidR="000C6AB8" w:rsidRPr="00E12F51">
        <w:rPr>
          <w:rFonts w:ascii="Tahoma" w:hAnsi="Tahoma" w:cs="Tahoma"/>
          <w:b/>
          <w:sz w:val="20"/>
          <w:szCs w:val="20"/>
        </w:rPr>
        <w:t>llabus</w:t>
      </w:r>
    </w:p>
    <w:p w14:paraId="45F6D9C4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41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8"/>
        <w:gridCol w:w="3550"/>
        <w:gridCol w:w="1332"/>
        <w:gridCol w:w="1662"/>
        <w:gridCol w:w="1792"/>
      </w:tblGrid>
      <w:tr w:rsidR="00605CEC" w:rsidRPr="000819A7" w14:paraId="6E5E011C" w14:textId="77777777" w:rsidTr="006630D0">
        <w:tc>
          <w:tcPr>
            <w:tcW w:w="20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A0CFBB0" w14:textId="10D5C994" w:rsidR="00605CEC" w:rsidRPr="00210AEF" w:rsidRDefault="0059769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4F204D5A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5445B4D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951547" w14:textId="32D7BC29" w:rsidR="00605CEC" w:rsidRPr="00210AEF" w:rsidRDefault="003860BD" w:rsidP="00605CEC">
            <w:pPr>
              <w:rPr>
                <w:rFonts w:ascii="Arial" w:hAnsi="Arial" w:cs="Arial"/>
                <w:sz w:val="17"/>
                <w:szCs w:val="17"/>
              </w:rPr>
            </w:pPr>
            <w:r w:rsidRPr="003860B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STATE AND LAW HISTORY</w:t>
            </w:r>
          </w:p>
        </w:tc>
      </w:tr>
      <w:tr w:rsidR="00210AEF" w:rsidRPr="000819A7" w14:paraId="2FFC8AFE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75D717B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D73B26" w14:textId="7C2280D8" w:rsidR="00210AEF" w:rsidRPr="00210AEF" w:rsidRDefault="006177D8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Type</w:t>
            </w:r>
          </w:p>
          <w:p w14:paraId="4A04F4E0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30792" w14:textId="7E3978B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Seme</w:t>
            </w:r>
            <w:r w:rsidR="006177D8">
              <w:rPr>
                <w:rFonts w:ascii="Arial" w:hAnsi="Arial" w:cs="Arial"/>
                <w:sz w:val="17"/>
                <w:szCs w:val="17"/>
              </w:rPr>
              <w:t xml:space="preserve">ster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B64FD8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021E937" w14:textId="00E32D4A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</w:t>
            </w:r>
            <w:r w:rsidR="000D6C57">
              <w:rPr>
                <w:rFonts w:ascii="Arial" w:hAnsi="Arial" w:cs="Arial"/>
                <w:sz w:val="17"/>
                <w:szCs w:val="17"/>
              </w:rPr>
              <w:t xml:space="preserve">e </w:t>
            </w:r>
          </w:p>
        </w:tc>
      </w:tr>
      <w:tr w:rsidR="00210AEF" w:rsidRPr="000819A7" w14:paraId="23EA74CF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66D0BF8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070D4DB" w14:textId="4FE67ECF" w:rsidR="00210AEF" w:rsidRPr="00E12F51" w:rsidRDefault="006177D8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Obligatory</w:t>
            </w:r>
            <w:r w:rsidR="00210AEF"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(O)</w:t>
            </w:r>
          </w:p>
          <w:p w14:paraId="23A28C09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E2EAC5" w14:textId="34E20863" w:rsidR="00210AEF" w:rsidRPr="00E12F51" w:rsidRDefault="003860B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555590" w14:textId="1634159F" w:rsidR="00210AEF" w:rsidRPr="00E12F51" w:rsidRDefault="003860B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078E2" w14:textId="73348206" w:rsidR="00210AEF" w:rsidRPr="00E12F51" w:rsidRDefault="006177D8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Law- B- OO</w:t>
            </w:r>
            <w:r w:rsidR="003860B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605CEC" w:rsidRPr="000819A7" w14:paraId="1E823725" w14:textId="77777777" w:rsidTr="006630D0">
        <w:trPr>
          <w:trHeight w:hRule="exact" w:val="288"/>
        </w:trPr>
        <w:tc>
          <w:tcPr>
            <w:tcW w:w="20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E229C95" w14:textId="2B0AA5BF" w:rsidR="00605CEC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E555EEC" w14:textId="77777777" w:rsidR="00597695" w:rsidRDefault="0059769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8B959B" w14:textId="77777777" w:rsidR="00597695" w:rsidRDefault="0059769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63298DB" w14:textId="77777777" w:rsidR="00597695" w:rsidRDefault="0059769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48FE297" w14:textId="24F716CE" w:rsidR="00597695" w:rsidRPr="00210AEF" w:rsidRDefault="0059769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F4C04D" w14:textId="731771BC" w:rsidR="00605CEC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</w:tc>
      </w:tr>
      <w:tr w:rsidR="00605CEC" w:rsidRPr="000819A7" w14:paraId="320B42FA" w14:textId="77777777" w:rsidTr="006630D0">
        <w:trPr>
          <w:trHeight w:hRule="exact" w:val="288"/>
        </w:trPr>
        <w:tc>
          <w:tcPr>
            <w:tcW w:w="207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48A52DF" w14:textId="0539B3AF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999F2FA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499B2F68" w14:textId="77777777" w:rsidTr="00AA2A3F">
        <w:trPr>
          <w:trHeight w:hRule="exact" w:val="711"/>
        </w:trPr>
        <w:tc>
          <w:tcPr>
            <w:tcW w:w="207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EB1CDF9" w14:textId="04035035" w:rsidR="006177D8" w:rsidRDefault="0059769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The lector of the subject</w:t>
            </w:r>
          </w:p>
          <w:p w14:paraId="18745EC3" w14:textId="4FB0DE31" w:rsidR="006177D8" w:rsidRDefault="006177D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assistant</w:t>
            </w:r>
          </w:p>
          <w:p w14:paraId="595C55C6" w14:textId="77777777" w:rsidR="006177D8" w:rsidRDefault="006177D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9A2D958" w14:textId="77777777" w:rsidR="006177D8" w:rsidRDefault="006177D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51548B5" w14:textId="4778BC7E" w:rsidR="006177D8" w:rsidRPr="00210AEF" w:rsidRDefault="006177D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FA7E2" w14:textId="1264B6C0" w:rsidR="00AA2A3F" w:rsidRDefault="00FD65AB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Prof.  Nuredin Lutfiu</w:t>
            </w:r>
          </w:p>
          <w:p w14:paraId="3CC38F95" w14:textId="35682AEF" w:rsidR="00AA2A3F" w:rsidRDefault="00AA2A3F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7843EA90" w14:textId="608A8B0D" w:rsidR="00AA2A3F" w:rsidRDefault="00AA2A3F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3E054B90" w14:textId="6C30A4FB" w:rsidR="00AA2A3F" w:rsidRDefault="00AA2A3F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213630F0" w14:textId="77777777" w:rsidR="00AA2A3F" w:rsidRDefault="00AA2A3F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612B361A" w14:textId="77777777" w:rsidR="006177D8" w:rsidRDefault="006177D8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4C934A6E" w14:textId="0166D5F8" w:rsidR="006177D8" w:rsidRPr="00E12F51" w:rsidRDefault="006177D8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0474F78F" w14:textId="77777777" w:rsidTr="003E6235">
        <w:trPr>
          <w:trHeight w:val="4949"/>
        </w:trPr>
        <w:tc>
          <w:tcPr>
            <w:tcW w:w="20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17693A1" w14:textId="217E2F8E" w:rsidR="00605CEC" w:rsidRPr="00210AEF" w:rsidRDefault="006177D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Amis and Objectives </w:t>
            </w:r>
          </w:p>
        </w:tc>
        <w:tc>
          <w:tcPr>
            <w:tcW w:w="8336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A6214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35D1DAD7" w14:textId="4A75468A" w:rsidR="003860BD" w:rsidRDefault="003860BD" w:rsidP="003E6235">
            <w:pPr>
              <w:jc w:val="both"/>
            </w:pPr>
            <w:r>
              <w:t>Within the academic program of the "UBT" University College in Pristina,</w:t>
            </w:r>
            <w:r w:rsidR="003E6235">
              <w:t xml:space="preserve"> </w:t>
            </w:r>
            <w:r>
              <w:t>"History of the state and law" is defined as a compulsory subject</w:t>
            </w:r>
            <w:r w:rsidR="003E6235">
              <w:t xml:space="preserve"> </w:t>
            </w:r>
            <w:r>
              <w:t>teaching for students of the Faculty of Law, in the first semester (I), with funds</w:t>
            </w:r>
            <w:r w:rsidR="003E6235">
              <w:t xml:space="preserve"> </w:t>
            </w:r>
            <w:r>
              <w:t>corresponding weekly lessons with a total of 5 credits. The study course of this</w:t>
            </w:r>
            <w:r w:rsidR="003E6235">
              <w:t xml:space="preserve"> </w:t>
            </w:r>
            <w:r>
              <w:t>subject in view of this curriculum is determined to</w:t>
            </w:r>
            <w:r w:rsidR="003E6235">
              <w:t xml:space="preserve"> </w:t>
            </w:r>
            <w:r>
              <w:t>takes place in the lessons: two hours of lectures and one of exercises with</w:t>
            </w:r>
            <w:r w:rsidR="003E6235">
              <w:t xml:space="preserve"> </w:t>
            </w:r>
            <w:r>
              <w:t>students of the Faculty of Law.</w:t>
            </w:r>
            <w:r w:rsidR="003E6235">
              <w:t xml:space="preserve"> </w:t>
            </w:r>
            <w:r>
              <w:t>Designing the development of lectures according to this Syllabus includes treatments of</w:t>
            </w:r>
            <w:r w:rsidR="003E6235">
              <w:t xml:space="preserve"> </w:t>
            </w:r>
            <w:r>
              <w:t>combined theoretical and practical part, which are initially developed</w:t>
            </w:r>
            <w:r w:rsidR="003E6235">
              <w:t xml:space="preserve"> </w:t>
            </w:r>
            <w:r>
              <w:t>lectures, then on the same topic, concretized exercises take place</w:t>
            </w:r>
            <w:r w:rsidR="003E6235">
              <w:t xml:space="preserve"> </w:t>
            </w:r>
            <w:r>
              <w:t>theoretical combined with practical debates held in classrooms,</w:t>
            </w:r>
            <w:r w:rsidR="003E6235">
              <w:t xml:space="preserve"> </w:t>
            </w:r>
            <w:r>
              <w:t>applying the interactive method of teaching work.</w:t>
            </w:r>
            <w:r w:rsidR="003E6235">
              <w:t xml:space="preserve"> </w:t>
            </w:r>
            <w:r>
              <w:t>With the educational course of this subject, students gain basic knowledge and</w:t>
            </w:r>
            <w:r w:rsidR="003E6235">
              <w:t xml:space="preserve"> </w:t>
            </w:r>
            <w:r>
              <w:t>in-depth on the History of the state and law, namely on the history of</w:t>
            </w:r>
            <w:r w:rsidR="003E6235">
              <w:t xml:space="preserve"> </w:t>
            </w:r>
            <w:r>
              <w:t>the development of the state as a legal category and in parallel also of law since</w:t>
            </w:r>
            <w:r w:rsidR="003E6235">
              <w:t xml:space="preserve"> </w:t>
            </w:r>
            <w:r>
              <w:t>the first appearance in the ancient antiquity wide in the present time, that is the state</w:t>
            </w:r>
            <w:r w:rsidR="003E6235">
              <w:t xml:space="preserve"> </w:t>
            </w:r>
            <w:r>
              <w:t>contemporary and consolidated law as a legal category in terms of</w:t>
            </w:r>
            <w:r w:rsidR="003E6235">
              <w:t xml:space="preserve"> </w:t>
            </w:r>
            <w:r>
              <w:t>theoretical and practical.</w:t>
            </w:r>
            <w:r w:rsidR="003E6235">
              <w:t xml:space="preserve"> </w:t>
            </w:r>
            <w:r>
              <w:t>During the lecture of this subject, different methods will be applied</w:t>
            </w:r>
            <w:r w:rsidR="003E6235">
              <w:t xml:space="preserve"> </w:t>
            </w:r>
            <w:r>
              <w:t>contemporary interactive, debating and creative, all with the aim of</w:t>
            </w:r>
            <w:r w:rsidR="003E6235">
              <w:t xml:space="preserve"> </w:t>
            </w:r>
            <w:r>
              <w:t>students acquire the learning material as best and as easily as possible</w:t>
            </w:r>
          </w:p>
          <w:p w14:paraId="7E2C4C38" w14:textId="4EC52E84" w:rsidR="00AA2A3F" w:rsidRPr="00AA2A3F" w:rsidRDefault="003860BD" w:rsidP="003E6235">
            <w:pPr>
              <w:jc w:val="both"/>
            </w:pPr>
            <w:r>
              <w:t>from the field of history and law.</w:t>
            </w:r>
          </w:p>
        </w:tc>
      </w:tr>
      <w:tr w:rsidR="00605CEC" w:rsidRPr="000819A7" w14:paraId="647FED42" w14:textId="77777777" w:rsidTr="006630D0">
        <w:tc>
          <w:tcPr>
            <w:tcW w:w="20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649DC21" w14:textId="42EB3325" w:rsidR="00605CEC" w:rsidRPr="00210AEF" w:rsidRDefault="00AA2A3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2A3F">
              <w:rPr>
                <w:rFonts w:ascii="Arial" w:hAnsi="Arial" w:cs="Arial"/>
                <w:b/>
                <w:sz w:val="17"/>
                <w:szCs w:val="17"/>
              </w:rPr>
              <w:t>Expected results</w:t>
            </w:r>
          </w:p>
        </w:tc>
        <w:tc>
          <w:tcPr>
            <w:tcW w:w="8336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E93CA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0990505A" w14:textId="77777777" w:rsidR="00103A21" w:rsidRPr="00103A21" w:rsidRDefault="00103A21" w:rsidP="00103A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At the end of the course, students will be able to:</w:t>
            </w:r>
          </w:p>
          <w:p w14:paraId="006747AB" w14:textId="77777777" w:rsidR="00103A21" w:rsidRPr="00103A21" w:rsidRDefault="00103A21" w:rsidP="00103A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understand the history of the birth of the state and law,</w:t>
            </w:r>
          </w:p>
          <w:p w14:paraId="15351CBA" w14:textId="618758AB" w:rsidR="00103A21" w:rsidRPr="00103A21" w:rsidRDefault="00103A21" w:rsidP="00103A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3E623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Explain and review</w:t>
            </w: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the processes of law development and the legalities of its development.</w:t>
            </w:r>
          </w:p>
          <w:p w14:paraId="319BC87D" w14:textId="77777777" w:rsidR="00103A21" w:rsidRPr="00103A21" w:rsidRDefault="00103A21" w:rsidP="00103A2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-apply their theoretical knowledge regarding the organization and functioning of state institutions in the rule of law;</w:t>
            </w:r>
          </w:p>
          <w:p w14:paraId="5323A08A" w14:textId="61DBE16D" w:rsidR="009428D7" w:rsidRDefault="00103A21" w:rsidP="009428D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264A12" w:rsidRPr="00264A1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Gather, analyse, and interpret </w:t>
            </w:r>
            <w:r w:rsidRPr="00103A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scientific legal achievements and best practices from the work of institutions in the contemporary state.</w:t>
            </w:r>
          </w:p>
          <w:p w14:paraId="737FE436" w14:textId="361DC0E3" w:rsidR="00264A12" w:rsidRPr="00A61E97" w:rsidRDefault="00264A12" w:rsidP="009428D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</w:t>
            </w:r>
            <w:r w:rsidR="00DD0351" w:rsidRPr="00A61E9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Learn how to argument orally issues related to best practises from the work of institutions;</w:t>
            </w:r>
          </w:p>
          <w:p w14:paraId="2E7D9696" w14:textId="39B641EB" w:rsidR="00DD0351" w:rsidRPr="00A61E97" w:rsidRDefault="00DD0351" w:rsidP="009428D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61E9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A61E97" w:rsidRPr="00A61E9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Compare different institutional practices of contemporary state and draw lessons from it;</w:t>
            </w:r>
          </w:p>
          <w:p w14:paraId="5B2F0027" w14:textId="77777777" w:rsidR="006A2830" w:rsidRPr="00E12F51" w:rsidRDefault="006A2830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18D2A7E6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819A7" w14:paraId="57D840CF" w14:textId="77777777" w:rsidTr="006630D0">
        <w:trPr>
          <w:trHeight w:hRule="exact" w:val="13851"/>
        </w:trPr>
        <w:tc>
          <w:tcPr>
            <w:tcW w:w="207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996FDF" w14:textId="1A666953" w:rsidR="009428D7" w:rsidRDefault="006A2830" w:rsidP="00352D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Teaching/Learning</w:t>
            </w:r>
          </w:p>
          <w:p w14:paraId="1ABDDA7D" w14:textId="2EF22446" w:rsidR="006A2830" w:rsidRPr="00210AEF" w:rsidRDefault="006A2830" w:rsidP="00352D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Method 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EFB6D" w14:textId="18C7363A" w:rsidR="00103A21" w:rsidRDefault="00103A21" w:rsidP="00103A21">
            <w:pPr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Weekly plan</w:t>
            </w:r>
          </w:p>
          <w:p w14:paraId="2D780552" w14:textId="77777777" w:rsidR="00103A21" w:rsidRP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12104EDB" w14:textId="77777777" w:rsidR="00103A21" w:rsidRPr="00103A21" w:rsidRDefault="00103A21" w:rsidP="00103A21">
            <w:pPr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The notion, sources and historical-legal institutions of the state</w:t>
            </w:r>
          </w:p>
          <w:p w14:paraId="16ADDB43" w14:textId="2F6A8BE0" w:rsidR="00103A21" w:rsidRPr="00103A21" w:rsidRDefault="00103A21" w:rsidP="00103A21">
            <w:pPr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state: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1 </w:t>
            </w:r>
          </w:p>
          <w:p w14:paraId="359136C0" w14:textId="77777777" w:rsidR="00103A21" w:rsidRDefault="00103A21" w:rsidP="00103A21">
            <w:pPr>
              <w:jc w:val="right"/>
              <w:rPr>
                <w:bCs/>
                <w:sz w:val="20"/>
                <w:szCs w:val="20"/>
              </w:rPr>
            </w:pPr>
          </w:p>
          <w:p w14:paraId="26C1598E" w14:textId="53A8E107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Primitive community-prehistory</w:t>
            </w:r>
            <w:r>
              <w:rPr>
                <w:bCs/>
                <w:sz w:val="20"/>
                <w:szCs w:val="20"/>
              </w:rPr>
              <w:tab/>
              <w:t>2</w:t>
            </w:r>
          </w:p>
          <w:p w14:paraId="35199764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6295699C" w14:textId="3D8B868E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State and law in the period of slavery</w:t>
            </w:r>
            <w:r>
              <w:rPr>
                <w:bCs/>
                <w:sz w:val="20"/>
                <w:szCs w:val="20"/>
              </w:rPr>
              <w:tab/>
              <w:t>3</w:t>
            </w:r>
          </w:p>
          <w:p w14:paraId="51F16E0A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19017B63" w14:textId="5772E84B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Sources and characteristics of law</w:t>
            </w:r>
            <w:r>
              <w:rPr>
                <w:bCs/>
                <w:sz w:val="20"/>
                <w:szCs w:val="20"/>
              </w:rPr>
              <w:tab/>
              <w:t>4</w:t>
            </w:r>
          </w:p>
          <w:p w14:paraId="35903ACE" w14:textId="1D0DFCEB" w:rsidR="00103A21" w:rsidRDefault="00103A21" w:rsidP="00103A21">
            <w:pPr>
              <w:jc w:val="right"/>
              <w:rPr>
                <w:bCs/>
                <w:sz w:val="20"/>
                <w:szCs w:val="20"/>
              </w:rPr>
            </w:pPr>
          </w:p>
          <w:p w14:paraId="68E74626" w14:textId="3EA03CC8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State and Law in Feudalism</w:t>
            </w:r>
            <w:r>
              <w:rPr>
                <w:bCs/>
                <w:sz w:val="20"/>
                <w:szCs w:val="20"/>
              </w:rPr>
              <w:tab/>
              <w:t>5</w:t>
            </w:r>
          </w:p>
          <w:p w14:paraId="44F27155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0B7B210F" w14:textId="102C08DD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Caliphate and Byzantium</w:t>
            </w:r>
            <w:r>
              <w:rPr>
                <w:bCs/>
                <w:sz w:val="20"/>
                <w:szCs w:val="20"/>
              </w:rPr>
              <w:tab/>
              <w:t>6</w:t>
            </w:r>
          </w:p>
          <w:p w14:paraId="2E3A9E9F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0DAFFC97" w14:textId="2EF8CFBC" w:rsidR="00103A21" w:rsidRPr="00103A21" w:rsidRDefault="00B7551B" w:rsidP="00103A21">
            <w:pPr>
              <w:tabs>
                <w:tab w:val="right" w:pos="632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  <w:r w:rsidR="00103A21" w:rsidRPr="00103A21">
              <w:rPr>
                <w:b/>
                <w:sz w:val="20"/>
                <w:szCs w:val="20"/>
              </w:rPr>
              <w:tab/>
              <w:t>7</w:t>
            </w:r>
          </w:p>
          <w:p w14:paraId="5B52A953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3379F2EA" w14:textId="7657A933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Cities and states in feudalism</w:t>
            </w:r>
            <w:r>
              <w:rPr>
                <w:bCs/>
                <w:sz w:val="20"/>
                <w:szCs w:val="20"/>
              </w:rPr>
              <w:tab/>
              <w:t>8</w:t>
            </w:r>
          </w:p>
          <w:p w14:paraId="0AB26099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6868CE7A" w14:textId="3B4B8019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Ottoman Empire/Sharia Law</w:t>
            </w:r>
            <w:r>
              <w:rPr>
                <w:bCs/>
                <w:sz w:val="20"/>
                <w:szCs w:val="20"/>
              </w:rPr>
              <w:tab/>
              <w:t>9</w:t>
            </w:r>
          </w:p>
          <w:p w14:paraId="77E52D58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17C60580" w14:textId="21A2C668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Contemporary democratic-liberal states</w:t>
            </w:r>
            <w:r>
              <w:rPr>
                <w:bCs/>
                <w:sz w:val="20"/>
                <w:szCs w:val="20"/>
              </w:rPr>
              <w:tab/>
              <w:t>10</w:t>
            </w:r>
          </w:p>
          <w:p w14:paraId="3B1A5A2F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22CDB78C" w14:textId="7C0971F8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United States</w:t>
            </w:r>
            <w:r>
              <w:rPr>
                <w:bCs/>
                <w:sz w:val="20"/>
                <w:szCs w:val="20"/>
              </w:rPr>
              <w:tab/>
              <w:t>11</w:t>
            </w:r>
          </w:p>
          <w:p w14:paraId="68E86F38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49074A9A" w14:textId="029E508A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France</w:t>
            </w:r>
            <w:r>
              <w:rPr>
                <w:bCs/>
                <w:sz w:val="20"/>
                <w:szCs w:val="20"/>
              </w:rPr>
              <w:tab/>
              <w:t>12</w:t>
            </w:r>
          </w:p>
          <w:p w14:paraId="6540296A" w14:textId="77777777" w:rsid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37C5E07F" w14:textId="67993268" w:rsidR="00103A21" w:rsidRPr="00103A21" w:rsidRDefault="00103A21" w:rsidP="00103A21">
            <w:pPr>
              <w:tabs>
                <w:tab w:val="right" w:pos="6328"/>
              </w:tabs>
              <w:rPr>
                <w:bCs/>
                <w:sz w:val="20"/>
                <w:szCs w:val="20"/>
              </w:rPr>
            </w:pPr>
            <w:r w:rsidRPr="00103A21">
              <w:rPr>
                <w:bCs/>
                <w:sz w:val="20"/>
                <w:szCs w:val="20"/>
              </w:rPr>
              <w:t>Germany, Albania/Kosovo</w:t>
            </w:r>
            <w:r w:rsidR="0052596A">
              <w:rPr>
                <w:bCs/>
                <w:sz w:val="20"/>
                <w:szCs w:val="20"/>
              </w:rPr>
              <w:t xml:space="preserve"> –</w:t>
            </w:r>
            <w:r w:rsidR="0052596A" w:rsidRPr="0052596A">
              <w:rPr>
                <w:b/>
                <w:bCs/>
                <w:sz w:val="20"/>
                <w:szCs w:val="20"/>
              </w:rPr>
              <w:t xml:space="preserve">Debate </w:t>
            </w:r>
            <w:r>
              <w:rPr>
                <w:bCs/>
                <w:sz w:val="20"/>
                <w:szCs w:val="20"/>
              </w:rPr>
              <w:tab/>
              <w:t>13</w:t>
            </w:r>
          </w:p>
          <w:p w14:paraId="3D4226DA" w14:textId="77777777" w:rsidR="00103A21" w:rsidRP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2DD9544F" w14:textId="00131AD9" w:rsidR="00103A21" w:rsidRPr="00103A21" w:rsidRDefault="00B7551B" w:rsidP="00103A21">
            <w:pPr>
              <w:tabs>
                <w:tab w:val="right" w:pos="632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Comparative </w:t>
            </w:r>
            <w:r w:rsidR="00E921D1">
              <w:rPr>
                <w:b/>
                <w:sz w:val="20"/>
                <w:szCs w:val="20"/>
              </w:rPr>
              <w:t>essay</w:t>
            </w:r>
            <w:r w:rsidR="00103A21" w:rsidRPr="00103A21">
              <w:rPr>
                <w:b/>
                <w:sz w:val="20"/>
                <w:szCs w:val="20"/>
              </w:rPr>
              <w:tab/>
              <w:t>14</w:t>
            </w:r>
          </w:p>
          <w:p w14:paraId="05842FBF" w14:textId="77777777" w:rsidR="00103A21" w:rsidRPr="00103A21" w:rsidRDefault="00103A21" w:rsidP="00103A21">
            <w:pPr>
              <w:rPr>
                <w:bCs/>
                <w:sz w:val="20"/>
                <w:szCs w:val="20"/>
              </w:rPr>
            </w:pPr>
          </w:p>
          <w:p w14:paraId="3D1EE53C" w14:textId="3CBD3E04" w:rsidR="008D10ED" w:rsidRPr="00103A21" w:rsidRDefault="00103A21" w:rsidP="00103A21">
            <w:pPr>
              <w:tabs>
                <w:tab w:val="right" w:pos="6328"/>
              </w:tabs>
              <w:rPr>
                <w:b/>
              </w:rPr>
            </w:pPr>
            <w:r w:rsidRPr="00A61E97">
              <w:rPr>
                <w:sz w:val="20"/>
                <w:szCs w:val="20"/>
              </w:rPr>
              <w:t>The final test</w:t>
            </w:r>
            <w:r w:rsidRPr="00A61E97">
              <w:rPr>
                <w:sz w:val="20"/>
                <w:szCs w:val="20"/>
              </w:rPr>
              <w:tab/>
            </w:r>
            <w:r w:rsidRPr="00103A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4D0C28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819A7" w14:paraId="234CEF2A" w14:textId="77777777" w:rsidTr="006630D0">
        <w:trPr>
          <w:trHeight w:hRule="exact" w:val="288"/>
        </w:trPr>
        <w:tc>
          <w:tcPr>
            <w:tcW w:w="20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3B1CB8" w14:textId="77777777" w:rsidR="00352DAF" w:rsidRPr="0067374F" w:rsidRDefault="00352DA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CC97850" w14:textId="77777777" w:rsidR="009428D7" w:rsidRPr="0067374F" w:rsidRDefault="009428D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197B1E" w14:textId="7331750A" w:rsidR="009428D7" w:rsidRPr="0067374F" w:rsidRDefault="006A2830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Assessment Method</w:t>
            </w:r>
          </w:p>
        </w:tc>
        <w:tc>
          <w:tcPr>
            <w:tcW w:w="6544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94F082" w14:textId="78E23A50" w:rsidR="009428D7" w:rsidRPr="00E12F51" w:rsidRDefault="009428D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A</w:t>
            </w:r>
            <w:r w:rsidR="00D621AE" w:rsidRPr="00D621AE">
              <w:rPr>
                <w:rFonts w:ascii="Arial" w:hAnsi="Arial" w:cs="Arial"/>
                <w:b/>
                <w:sz w:val="17"/>
                <w:szCs w:val="17"/>
              </w:rPr>
              <w:t>ctivity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0DB976D" w14:textId="295824B4" w:rsidR="009428D7" w:rsidRPr="00E12F51" w:rsidRDefault="00D621AE" w:rsidP="00D621A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</w:t>
            </w:r>
            <w:r w:rsidR="009428D7" w:rsidRPr="00E12F51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D621AE" w:rsidRPr="000819A7" w14:paraId="0ABAA9D3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7FEB6F" w14:textId="77777777" w:rsidR="00D621AE" w:rsidRPr="0067374F" w:rsidRDefault="00D621AE" w:rsidP="00D621A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7DE9D" w14:textId="18A79C4F" w:rsidR="00D621AE" w:rsidRPr="00D621AE" w:rsidRDefault="00D621AE" w:rsidP="00D621AE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C7C40">
              <w:t>1. The lecture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A3E5FB" w14:textId="17F6FF8F" w:rsidR="00D621AE" w:rsidRPr="00E12F51" w:rsidRDefault="00A61E97" w:rsidP="00D621A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  <w:r w:rsidR="00D621A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0</w:t>
            </w:r>
            <w:r w:rsidR="00D621AE"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%</w:t>
            </w:r>
          </w:p>
        </w:tc>
      </w:tr>
      <w:tr w:rsidR="00D621AE" w:rsidRPr="000819A7" w14:paraId="2F261674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611BCC0" w14:textId="77777777" w:rsidR="00D621AE" w:rsidRPr="0067374F" w:rsidRDefault="00D621AE" w:rsidP="00D621A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2D4F5" w14:textId="18D704A3" w:rsidR="00D621AE" w:rsidRPr="00D621AE" w:rsidRDefault="00D621AE" w:rsidP="00D621AE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C7C40">
              <w:t>2. Seminars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330B895" w14:textId="77777777" w:rsidR="00D621AE" w:rsidRPr="00E12F51" w:rsidRDefault="00D621AE" w:rsidP="00D621A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20%</w:t>
            </w:r>
          </w:p>
        </w:tc>
      </w:tr>
      <w:tr w:rsidR="00D621AE" w:rsidRPr="000819A7" w14:paraId="1B4B5BA0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3383063" w14:textId="77777777" w:rsidR="00D621AE" w:rsidRPr="0067374F" w:rsidRDefault="00D621AE" w:rsidP="00D621A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53468" w14:textId="38B6731B" w:rsidR="00D621AE" w:rsidRPr="00D621AE" w:rsidRDefault="00D621AE" w:rsidP="00D621AE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C7C40">
              <w:t>3. Exercises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D86FF1" w14:textId="77777777" w:rsidR="00D621AE" w:rsidRPr="00E12F51" w:rsidRDefault="00D621AE" w:rsidP="00D621A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20%</w:t>
            </w:r>
          </w:p>
        </w:tc>
      </w:tr>
      <w:tr w:rsidR="009428D7" w:rsidRPr="000819A7" w14:paraId="06BBC536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506D242" w14:textId="77777777" w:rsidR="009428D7" w:rsidRPr="0067374F" w:rsidRDefault="009428D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CEC3E" w14:textId="4B063DE1" w:rsidR="009428D7" w:rsidRPr="009D43F5" w:rsidRDefault="00A61E97" w:rsidP="009D43F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4. Documentaries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BFDE31" w14:textId="69FBF1AE" w:rsidR="009428D7" w:rsidRPr="00E12F51" w:rsidRDefault="00A61E97" w:rsidP="009D43F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            20 %</w:t>
            </w:r>
          </w:p>
        </w:tc>
      </w:tr>
      <w:tr w:rsidR="009428D7" w:rsidRPr="000819A7" w14:paraId="57394B4D" w14:textId="77777777" w:rsidTr="006630D0">
        <w:trPr>
          <w:trHeight w:hRule="exact" w:val="288"/>
        </w:trPr>
        <w:tc>
          <w:tcPr>
            <w:tcW w:w="20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C896010" w14:textId="74479728" w:rsidR="009428D7" w:rsidRPr="0067374F" w:rsidRDefault="0071141A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Evaluations methods  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372F89" w14:textId="2401871F" w:rsidR="009428D7" w:rsidRPr="00E12F51" w:rsidRDefault="00D621AE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621AE">
              <w:rPr>
                <w:rFonts w:ascii="Arial" w:hAnsi="Arial" w:cs="Arial"/>
                <w:b/>
                <w:sz w:val="17"/>
                <w:szCs w:val="17"/>
              </w:rPr>
              <w:t>Evaluation activity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77FFF" w14:textId="31708299" w:rsidR="009428D7" w:rsidRPr="00E12F51" w:rsidRDefault="00D621AE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umber </w:t>
            </w:r>
          </w:p>
        </w:tc>
        <w:tc>
          <w:tcPr>
            <w:tcW w:w="166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6642C2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D1C06B0" w14:textId="08D40CFF" w:rsidR="009428D7" w:rsidRPr="00E12F51" w:rsidRDefault="009428D7" w:rsidP="00D621A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03490" w:rsidRPr="000819A7" w14:paraId="5378C4AB" w14:textId="77777777" w:rsidTr="006630D0">
        <w:trPr>
          <w:gridAfter w:val="4"/>
          <w:wAfter w:w="8336" w:type="dxa"/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4C0AC01C" w14:textId="77777777" w:rsidR="00703490" w:rsidRPr="00210AEF" w:rsidRDefault="00703490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21AE" w:rsidRPr="000819A7" w14:paraId="3BFED567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B1DAD6F" w14:textId="77777777" w:rsidR="00D621AE" w:rsidRPr="00210AEF" w:rsidRDefault="00D621AE" w:rsidP="00D621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C9368F2" w14:textId="28DEC0C1" w:rsidR="00D621AE" w:rsidRPr="00FF3755" w:rsidRDefault="00FC5D5C" w:rsidP="00FC5D5C">
            <w:r>
              <w:t>The comparative essay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E2DDBC9" w14:textId="252C4616" w:rsidR="00D621AE" w:rsidRPr="00FF3755" w:rsidRDefault="00D621AE" w:rsidP="00D621AE">
            <w:pPr>
              <w:jc w:val="center"/>
            </w:pPr>
            <w:r w:rsidRPr="00FF3755">
              <w:t xml:space="preserve">                 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0559FFD" w14:textId="77777777" w:rsidR="00D621AE" w:rsidRPr="00FF3755" w:rsidRDefault="00D621AE" w:rsidP="00D621AE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E76AF4" w14:textId="74404A5F" w:rsidR="00D621AE" w:rsidRPr="00FF3755" w:rsidRDefault="00FC5D5C" w:rsidP="00D621AE">
            <w:pPr>
              <w:jc w:val="center"/>
            </w:pPr>
            <w:r w:rsidRPr="00FF3755">
              <w:t>2</w:t>
            </w:r>
            <w:r w:rsidR="00D621AE" w:rsidRPr="00FF3755">
              <w:t>0%</w:t>
            </w:r>
          </w:p>
        </w:tc>
      </w:tr>
      <w:tr w:rsidR="00D621AE" w:rsidRPr="000819A7" w14:paraId="72CBE0AF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A4DA430" w14:textId="77777777" w:rsidR="00D621AE" w:rsidRPr="00210AEF" w:rsidRDefault="00D621AE" w:rsidP="00D621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4FA0A220" w14:textId="4727E9FA" w:rsidR="00D621AE" w:rsidRPr="00FF3755" w:rsidRDefault="00FC5D5C" w:rsidP="00D621AE">
            <w:r>
              <w:t>Legal debate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078738C" w14:textId="2E8989DE" w:rsidR="00D621AE" w:rsidRPr="00FF3755" w:rsidRDefault="00D621AE" w:rsidP="00D621AE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7F5BE78" w14:textId="77777777" w:rsidR="00D621AE" w:rsidRPr="00FF3755" w:rsidRDefault="00D621AE" w:rsidP="00D621AE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47FE33" w14:textId="718CEA2C" w:rsidR="00D621AE" w:rsidRPr="00FF3755" w:rsidRDefault="00FC5D5C" w:rsidP="00D621AE">
            <w:pPr>
              <w:jc w:val="center"/>
            </w:pPr>
            <w:r w:rsidRPr="00FF3755">
              <w:t>2</w:t>
            </w:r>
            <w:r w:rsidR="00D621AE" w:rsidRPr="00FF3755">
              <w:t>0%</w:t>
            </w:r>
          </w:p>
          <w:p w14:paraId="7998B7B0" w14:textId="5E7CB7AC" w:rsidR="00FC5D5C" w:rsidRPr="00FF3755" w:rsidRDefault="00FC5D5C" w:rsidP="00D621AE">
            <w:pPr>
              <w:jc w:val="center"/>
            </w:pPr>
          </w:p>
        </w:tc>
      </w:tr>
      <w:tr w:rsidR="00FC5D5C" w:rsidRPr="000819A7" w14:paraId="341B5ADA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2946F21" w14:textId="77777777" w:rsidR="00FC5D5C" w:rsidRPr="00210AEF" w:rsidRDefault="00FC5D5C" w:rsidP="00D621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378067A" w14:textId="2DF60C21" w:rsidR="00FC5D5C" w:rsidRDefault="00FC5D5C" w:rsidP="00D621AE">
            <w:r>
              <w:t>Historical review presentation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E9D46B9" w14:textId="77777777" w:rsidR="00FC5D5C" w:rsidRPr="00FF3755" w:rsidRDefault="00FC5D5C" w:rsidP="00D621AE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2AED6DD" w14:textId="77777777" w:rsidR="00FC5D5C" w:rsidRPr="00FF3755" w:rsidRDefault="00FC5D5C" w:rsidP="00D621AE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A0A054" w14:textId="77777777" w:rsidR="00FC5D5C" w:rsidRPr="00FF3755" w:rsidRDefault="00FC5D5C" w:rsidP="00D621AE">
            <w:pPr>
              <w:jc w:val="center"/>
            </w:pPr>
            <w:r w:rsidRPr="00FF3755">
              <w:t>20 %</w:t>
            </w:r>
          </w:p>
          <w:p w14:paraId="5875A3D7" w14:textId="20CBCDBD" w:rsidR="00FC5D5C" w:rsidRPr="00FF3755" w:rsidRDefault="00FC5D5C" w:rsidP="00D621AE">
            <w:pPr>
              <w:jc w:val="center"/>
            </w:pPr>
          </w:p>
        </w:tc>
      </w:tr>
      <w:tr w:rsidR="009428D7" w:rsidRPr="000819A7" w14:paraId="70835477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2777C42" w14:textId="77777777" w:rsidR="009428D7" w:rsidRPr="00210AEF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CE6ABFF" w14:textId="1BC8AEEA" w:rsidR="009428D7" w:rsidRPr="00FF3755" w:rsidRDefault="00FC5D5C" w:rsidP="00703490">
            <w:r w:rsidRPr="00FF3755">
              <w:t>Attendance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8611C13" w14:textId="77777777" w:rsidR="009428D7" w:rsidRPr="00FF3755" w:rsidRDefault="009428D7" w:rsidP="009428D7">
            <w:pPr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07EAE7E" w14:textId="77777777" w:rsidR="009428D7" w:rsidRPr="00FF3755" w:rsidRDefault="009428D7" w:rsidP="009428D7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C9F778" w14:textId="77777777" w:rsidR="009428D7" w:rsidRPr="00FF3755" w:rsidRDefault="00FC5D5C" w:rsidP="00703490">
            <w:r w:rsidRPr="00FF3755">
              <w:t xml:space="preserve">            10 %</w:t>
            </w:r>
          </w:p>
          <w:p w14:paraId="66F8C3FB" w14:textId="21B16705" w:rsidR="00FC5D5C" w:rsidRPr="00FF3755" w:rsidRDefault="00FC5D5C" w:rsidP="00703490"/>
        </w:tc>
      </w:tr>
      <w:tr w:rsidR="00FF3755" w:rsidRPr="000819A7" w14:paraId="154DA828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026422A3" w14:textId="77777777" w:rsidR="00FF3755" w:rsidRPr="00210AEF" w:rsidRDefault="00FF3755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69172AC" w14:textId="1520D79D" w:rsidR="00FF3755" w:rsidRPr="00FF3755" w:rsidRDefault="00FF3755" w:rsidP="00703490">
            <w:r>
              <w:t>Final examination – Analytical questions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4E917D1" w14:textId="77777777" w:rsidR="00FF3755" w:rsidRPr="00FF3755" w:rsidRDefault="00FF3755" w:rsidP="009428D7">
            <w:pPr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D43638D" w14:textId="77777777" w:rsidR="00FF3755" w:rsidRPr="00FF3755" w:rsidRDefault="00FF3755" w:rsidP="009428D7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4EDBA9" w14:textId="2C24BB0B" w:rsidR="00FF3755" w:rsidRPr="00FF3755" w:rsidRDefault="00FF3755" w:rsidP="00703490">
            <w:r>
              <w:t xml:space="preserve">             20 %</w:t>
            </w:r>
          </w:p>
        </w:tc>
      </w:tr>
      <w:tr w:rsidR="009428D7" w:rsidRPr="000819A7" w14:paraId="52C63316" w14:textId="77777777" w:rsidTr="00FC5D5C">
        <w:trPr>
          <w:trHeight w:hRule="exact" w:val="80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94C42BA" w14:textId="77777777" w:rsidR="009428D7" w:rsidRPr="00210AEF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6E3ACB8" w14:textId="77777777" w:rsidR="00D621AE" w:rsidRDefault="00D621AE" w:rsidP="006630D0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047633B" w14:textId="124E74CE" w:rsidR="006630D0" w:rsidRPr="00B02570" w:rsidRDefault="006630D0" w:rsidP="006630D0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Cambria" w:eastAsia="Calibri" w:hAnsi="Cambria" w:cs="Cambria"/>
                <w:sz w:val="18"/>
                <w:szCs w:val="18"/>
              </w:rPr>
            </w:pP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50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%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-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6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0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% =6</w:t>
            </w:r>
            <w:r w:rsidRPr="00B02570">
              <w:rPr>
                <w:rFonts w:ascii="Cambria" w:hAnsi="Cambria" w:cs="Cambria"/>
                <w:sz w:val="18"/>
                <w:szCs w:val="18"/>
              </w:rPr>
              <w:t xml:space="preserve">. 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61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%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-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7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0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% =7</w:t>
            </w:r>
            <w:r w:rsidRPr="00B02570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71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%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-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8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0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% =</w:t>
            </w:r>
            <w:r w:rsidRPr="00B02570">
              <w:rPr>
                <w:rFonts w:ascii="Cambria" w:hAnsi="Cambria" w:cs="Cambria"/>
                <w:sz w:val="18"/>
                <w:szCs w:val="18"/>
              </w:rPr>
              <w:t>8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 xml:space="preserve"> 81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%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-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9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0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% =9</w:t>
            </w:r>
            <w:r w:rsidRPr="00B02570">
              <w:rPr>
                <w:rFonts w:ascii="Cambria" w:hAnsi="Cambria" w:cs="Cambria"/>
                <w:sz w:val="18"/>
                <w:szCs w:val="18"/>
              </w:rPr>
              <w:t>, 91%-100%=10</w:t>
            </w:r>
          </w:p>
          <w:p w14:paraId="5DB6A546" w14:textId="77777777" w:rsidR="009428D7" w:rsidRPr="00E12F51" w:rsidRDefault="006630D0" w:rsidP="006630D0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91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%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-</w:t>
            </w:r>
            <w:r w:rsidRPr="00B02570">
              <w:rPr>
                <w:rFonts w:ascii="Cambria" w:eastAsia="Calibri" w:hAnsi="Cambria" w:cs="Cambria"/>
                <w:spacing w:val="1"/>
                <w:sz w:val="18"/>
                <w:szCs w:val="18"/>
              </w:rPr>
              <w:t>1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00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% =</w:t>
            </w:r>
            <w:r w:rsidRPr="00B02570">
              <w:rPr>
                <w:rFonts w:ascii="Cambria" w:eastAsia="Calibri" w:hAnsi="Cambria" w:cs="Cambria"/>
                <w:spacing w:val="-1"/>
                <w:sz w:val="18"/>
                <w:szCs w:val="18"/>
              </w:rPr>
              <w:t>1</w:t>
            </w:r>
            <w:r w:rsidRPr="00B02570">
              <w:rPr>
                <w:rFonts w:ascii="Cambria" w:eastAsia="Calibri" w:hAnsi="Cambria" w:cs="Cambria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2EF5C46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3B3CE35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FAACDB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819A7" w14:paraId="12F9A40A" w14:textId="77777777" w:rsidTr="00FC5D5C">
        <w:trPr>
          <w:trHeight w:hRule="exact" w:val="80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18A2B18E" w14:textId="77777777" w:rsidR="009428D7" w:rsidRPr="00210AEF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B7C089" w14:textId="104E57A5" w:rsidR="009428D7" w:rsidRPr="00E12F51" w:rsidRDefault="009428D7" w:rsidP="006630D0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621BD7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D2D94E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742C8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03134B" w:rsidRPr="000819A7" w14:paraId="50293E5F" w14:textId="77777777" w:rsidTr="006630D0">
        <w:trPr>
          <w:trHeight w:hRule="exact" w:val="288"/>
        </w:trPr>
        <w:tc>
          <w:tcPr>
            <w:tcW w:w="20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E16D2A7" w14:textId="064A9A31" w:rsidR="0003134B" w:rsidRPr="0067374F" w:rsidRDefault="0071141A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141A">
              <w:rPr>
                <w:rFonts w:ascii="Arial" w:hAnsi="Arial" w:cs="Arial"/>
                <w:b/>
                <w:sz w:val="17"/>
                <w:szCs w:val="17"/>
              </w:rPr>
              <w:t>Sources and tools of concretization</w:t>
            </w:r>
          </w:p>
        </w:tc>
        <w:tc>
          <w:tcPr>
            <w:tcW w:w="6544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BFAEE" w14:textId="4FE79A6A" w:rsidR="0003134B" w:rsidRPr="00E12F51" w:rsidRDefault="00D621AE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Means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F64106" w14:textId="0FA78541" w:rsidR="0003134B" w:rsidRPr="00E12F51" w:rsidRDefault="0003134B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N</w:t>
            </w:r>
            <w:r w:rsidR="00D621AE">
              <w:rPr>
                <w:rFonts w:ascii="Arial" w:hAnsi="Arial" w:cs="Arial"/>
                <w:b/>
                <w:sz w:val="17"/>
                <w:szCs w:val="17"/>
              </w:rPr>
              <w:t xml:space="preserve">umber </w:t>
            </w:r>
          </w:p>
        </w:tc>
      </w:tr>
      <w:tr w:rsidR="0003134B" w:rsidRPr="000819A7" w14:paraId="3AAE2CDC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4AAF62" w14:textId="77777777" w:rsidR="0003134B" w:rsidRPr="0067374F" w:rsidRDefault="0003134B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71985" w14:textId="6D467663" w:rsidR="0003134B" w:rsidRPr="00E12F51" w:rsidRDefault="00D621AE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Class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AD1C4" w14:textId="77777777" w:rsidR="0003134B" w:rsidRPr="00E12F51" w:rsidRDefault="0003134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03134B" w:rsidRPr="000819A7" w14:paraId="7D82A8F1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75909AC" w14:textId="77777777" w:rsidR="0003134B" w:rsidRPr="0067374F" w:rsidRDefault="0003134B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4FD60" w14:textId="77777777" w:rsidR="0003134B" w:rsidRPr="00E12F51" w:rsidRDefault="0003134B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09294F" w14:textId="77777777" w:rsidR="0003134B" w:rsidRPr="00E12F51" w:rsidRDefault="009D43F5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03134B" w:rsidRPr="000819A7" w14:paraId="5F627E01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9FBEBB" w14:textId="77777777" w:rsidR="0003134B" w:rsidRPr="0067374F" w:rsidRDefault="0003134B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50219" w14:textId="707EB1B6" w:rsidR="0003134B" w:rsidRPr="00E12F51" w:rsidRDefault="00D621AE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Projector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0E3DB8" w14:textId="77777777" w:rsidR="0003134B" w:rsidRPr="00E12F51" w:rsidRDefault="004965C0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03134B" w:rsidRPr="000819A7" w14:paraId="70E012F7" w14:textId="77777777" w:rsidTr="00EF24D1">
        <w:trPr>
          <w:trHeight w:hRule="exact" w:val="80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088D51D" w14:textId="77777777" w:rsidR="0003134B" w:rsidRPr="0067374F" w:rsidRDefault="0003134B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6490D3" w14:textId="77777777" w:rsidR="0003134B" w:rsidRPr="004965C0" w:rsidRDefault="0003134B" w:rsidP="004965C0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4DFF2" w14:textId="77777777" w:rsidR="0003134B" w:rsidRPr="00E12F51" w:rsidRDefault="0003134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819A7" w14:paraId="362E8D4D" w14:textId="77777777" w:rsidTr="006630D0">
        <w:trPr>
          <w:trHeight w:hRule="exact" w:val="288"/>
        </w:trPr>
        <w:tc>
          <w:tcPr>
            <w:tcW w:w="20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F447594" w14:textId="19D5ACA2" w:rsidR="009428D7" w:rsidRPr="0067374F" w:rsidRDefault="00021E8A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workload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FA5AD" w14:textId="025086C0" w:rsidR="009428D7" w:rsidRPr="0067374F" w:rsidRDefault="00441D17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</w:t>
            </w:r>
            <w:r w:rsidRPr="00441D17">
              <w:rPr>
                <w:rFonts w:ascii="Arial" w:hAnsi="Arial" w:cs="Arial"/>
                <w:b/>
                <w:sz w:val="17"/>
                <w:szCs w:val="17"/>
              </w:rPr>
              <w:t>ctivity type</w:t>
            </w:r>
          </w:p>
        </w:tc>
        <w:tc>
          <w:tcPr>
            <w:tcW w:w="166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3C1CD" w14:textId="6E7A4A85" w:rsidR="009428D7" w:rsidRPr="0067374F" w:rsidRDefault="00441D17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41D17">
              <w:rPr>
                <w:rFonts w:ascii="Arial" w:hAnsi="Arial" w:cs="Arial"/>
                <w:b/>
                <w:sz w:val="17"/>
                <w:szCs w:val="17"/>
              </w:rPr>
              <w:t>Weekly hours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0EBB27" w14:textId="0E52D578" w:rsidR="009428D7" w:rsidRPr="0067374F" w:rsidRDefault="00441D17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41D17">
              <w:rPr>
                <w:rFonts w:ascii="Arial" w:hAnsi="Arial" w:cs="Arial"/>
                <w:b/>
                <w:sz w:val="17"/>
                <w:szCs w:val="17"/>
              </w:rPr>
              <w:t>Total load</w:t>
            </w:r>
          </w:p>
        </w:tc>
      </w:tr>
      <w:tr w:rsidR="00210AEF" w:rsidRPr="000819A7" w14:paraId="5511BF76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2EF9D6A" w14:textId="77777777" w:rsidR="00210AEF" w:rsidRPr="0067374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6A834" w14:textId="4F6DA2EB" w:rsidR="00210AEF" w:rsidRPr="00E12F51" w:rsidRDefault="0067374F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L</w:t>
            </w:r>
            <w:r w:rsidR="00441D17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ecture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C1F8B50" w14:textId="77777777" w:rsidR="00210AEF" w:rsidRPr="00E12F51" w:rsidRDefault="00741B9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1304D49" w14:textId="77777777" w:rsidR="00210AEF" w:rsidRPr="00E12F51" w:rsidRDefault="00FB2972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</w:t>
            </w:r>
          </w:p>
        </w:tc>
      </w:tr>
      <w:tr w:rsidR="00210AEF" w:rsidRPr="000819A7" w14:paraId="7A7F77F3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4EAF8D2" w14:textId="77777777" w:rsidR="00210AEF" w:rsidRPr="0067374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859CB" w14:textId="72A0F2A2" w:rsidR="00210AEF" w:rsidRDefault="00512478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Exercises</w:t>
            </w:r>
          </w:p>
          <w:p w14:paraId="0979A1DB" w14:textId="77777777" w:rsidR="006630D0" w:rsidRDefault="006630D0" w:rsidP="006630D0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1A43119F" w14:textId="77777777" w:rsidR="006630D0" w:rsidRPr="006630D0" w:rsidRDefault="006630D0" w:rsidP="006630D0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A07CA0B" w14:textId="77777777" w:rsidR="00210AEF" w:rsidRPr="00E12F51" w:rsidRDefault="00FB2972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DED433" w14:textId="77777777" w:rsidR="00210AEF" w:rsidRPr="00E12F51" w:rsidRDefault="00FB2972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67374F" w:rsidRPr="000819A7" w14:paraId="0CFA8F57" w14:textId="77777777" w:rsidTr="00EF24D1">
        <w:trPr>
          <w:trHeight w:hRule="exact" w:val="80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165A554" w14:textId="77777777" w:rsidR="0067374F" w:rsidRPr="0067374F" w:rsidRDefault="0067374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43FB7" w14:textId="77777777" w:rsidR="0067374F" w:rsidRPr="00E51D4B" w:rsidRDefault="0067374F" w:rsidP="00E51D4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38D0BCD" w14:textId="77777777" w:rsidR="0067374F" w:rsidRPr="00E12F51" w:rsidRDefault="0067374F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0A736A" w14:textId="77777777" w:rsidR="0067374F" w:rsidRPr="00E12F51" w:rsidRDefault="0067374F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7374F" w:rsidRPr="000819A7" w14:paraId="7924BB6D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359AA51" w14:textId="77777777" w:rsidR="0067374F" w:rsidRPr="0067374F" w:rsidRDefault="0067374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9143" w14:textId="25211835" w:rsidR="0067374F" w:rsidRPr="00E12F51" w:rsidRDefault="00441D17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1D17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Independent learning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BBC74C8" w14:textId="783B53B3" w:rsidR="0067374F" w:rsidRPr="00E12F51" w:rsidRDefault="00512478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D8F466" w14:textId="135889B8" w:rsidR="0067374F" w:rsidRPr="00E12F51" w:rsidRDefault="00512478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</w:t>
            </w:r>
          </w:p>
        </w:tc>
      </w:tr>
      <w:tr w:rsidR="00512478" w:rsidRPr="000819A7" w14:paraId="515B2BA6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F41C96A" w14:textId="77777777" w:rsidR="00512478" w:rsidRPr="0067374F" w:rsidRDefault="0051247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DF65" w14:textId="3459B2C2" w:rsidR="00512478" w:rsidRPr="00441D17" w:rsidRDefault="00512478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Comparative research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FFEF125" w14:textId="702B82E8" w:rsidR="00512478" w:rsidRDefault="00512478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75EEE9" w14:textId="40393DDD" w:rsidR="00512478" w:rsidRDefault="00512478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512478" w:rsidRPr="000819A7" w14:paraId="23C3BEFA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837463A" w14:textId="77777777" w:rsidR="00512478" w:rsidRPr="0067374F" w:rsidRDefault="0051247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E044D" w14:textId="7C2AFDA9" w:rsidR="00512478" w:rsidRDefault="009639EB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Debate preparation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247C0AA" w14:textId="185232B6" w:rsidR="00512478" w:rsidRDefault="009639E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B6E033" w14:textId="7BFE5C4D" w:rsidR="00512478" w:rsidRDefault="009639E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9639EB" w:rsidRPr="000819A7" w14:paraId="17028B76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12E4377" w14:textId="77777777" w:rsidR="009639EB" w:rsidRPr="0067374F" w:rsidRDefault="009639EB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F0B1F" w14:textId="02C7FE73" w:rsidR="009639EB" w:rsidRDefault="009639EB" w:rsidP="00537D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Exam </w:t>
            </w:r>
            <w:r w:rsidR="00537D52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Preparation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5BA8B83" w14:textId="549AF4CA" w:rsidR="009639EB" w:rsidRDefault="009639E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087061E" w14:textId="43D8E8D5" w:rsidR="009639EB" w:rsidRDefault="009639EB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9639EB" w:rsidRPr="000819A7" w14:paraId="48219B64" w14:textId="77777777" w:rsidTr="006630D0">
        <w:trPr>
          <w:trHeight w:hRule="exact" w:val="288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EF7C584" w14:textId="77777777" w:rsidR="009639EB" w:rsidRPr="0067374F" w:rsidRDefault="009639EB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153FC" w14:textId="56340645" w:rsidR="009639EB" w:rsidRDefault="00537D52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Historical review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ADFCE20" w14:textId="24E17802" w:rsidR="009639EB" w:rsidRDefault="00537D52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F38AD4" w14:textId="5315EA67" w:rsidR="009639EB" w:rsidRDefault="00537D52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9428D7" w:rsidRPr="000819A7" w14:paraId="194C9687" w14:textId="77777777" w:rsidTr="006630D0">
        <w:trPr>
          <w:trHeight w:hRule="exact" w:val="80"/>
        </w:trPr>
        <w:tc>
          <w:tcPr>
            <w:tcW w:w="207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13744A7" w14:textId="77777777" w:rsidR="009428D7" w:rsidRPr="0067374F" w:rsidRDefault="009428D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517E7B" w14:textId="77777777" w:rsidR="009428D7" w:rsidRPr="006630D0" w:rsidRDefault="009428D7" w:rsidP="006630D0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6DF6EC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68518" w14:textId="77777777" w:rsidR="009428D7" w:rsidRPr="00E12F51" w:rsidRDefault="009428D7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819A7" w14:paraId="3A7252E1" w14:textId="77777777" w:rsidTr="00EF24D1">
        <w:trPr>
          <w:trHeight w:val="2672"/>
        </w:trPr>
        <w:tc>
          <w:tcPr>
            <w:tcW w:w="20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A378459" w14:textId="47FF319C" w:rsidR="009428D7" w:rsidRPr="0067374F" w:rsidRDefault="0071141A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141A">
              <w:rPr>
                <w:rFonts w:ascii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8336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A13BF5" w14:textId="77777777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Basic literature:</w:t>
            </w:r>
          </w:p>
          <w:p w14:paraId="2C85DBA7" w14:textId="77777777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</w:p>
          <w:p w14:paraId="2648719B" w14:textId="77777777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Mandatory:</w:t>
            </w:r>
            <w:bookmarkStart w:id="0" w:name="_GoBack"/>
            <w:bookmarkEnd w:id="0"/>
          </w:p>
          <w:p w14:paraId="443B1C47" w14:textId="77777777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1. Hilmi Ismaili &amp; Fatmir Sejdiu: History of Legal Institutions and</w:t>
            </w:r>
          </w:p>
          <w:p w14:paraId="2AB8A8E2" w14:textId="77777777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State, Pristina, 2009</w:t>
            </w:r>
          </w:p>
          <w:p w14:paraId="0933BED2" w14:textId="231D9F76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2. Aurela Anastasi: Historia e Institution, Tirana 1998</w:t>
            </w:r>
          </w:p>
          <w:p w14:paraId="0952EBBF" w14:textId="77777777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</w:t>
            </w:r>
          </w:p>
          <w:p w14:paraId="404E9044" w14:textId="24D3B81D" w:rsidR="00BE15D2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Recommended:</w:t>
            </w:r>
          </w:p>
          <w:p w14:paraId="694AEA87" w14:textId="77777777" w:rsidR="007177B1" w:rsidRPr="00EF24D1" w:rsidRDefault="007177B1" w:rsidP="00BE15D2">
            <w:pPr>
              <w:rPr>
                <w:rFonts w:ascii="Arial" w:hAnsi="Arial" w:cs="Arial"/>
                <w:sz w:val="17"/>
                <w:szCs w:val="17"/>
              </w:rPr>
            </w:pPr>
          </w:p>
          <w:p w14:paraId="21015AEB" w14:textId="7BDC0719" w:rsidR="00BE15D2" w:rsidRPr="00EF24D1" w:rsidRDefault="00BE15D2" w:rsidP="00BE15D2">
            <w:pPr>
              <w:rPr>
                <w:rFonts w:ascii="Arial" w:hAnsi="Arial" w:cs="Arial"/>
                <w:sz w:val="17"/>
                <w:szCs w:val="17"/>
              </w:rPr>
            </w:pPr>
            <w:r w:rsidRPr="00EF24D1">
              <w:rPr>
                <w:rFonts w:ascii="Arial" w:hAnsi="Arial" w:cs="Arial"/>
                <w:sz w:val="17"/>
                <w:szCs w:val="17"/>
              </w:rPr>
              <w:t>3 Randall Laffer, Jan Arriens, "European Legal History: A Cultural and Political Perspective," Cambridge University Press, 2009</w:t>
            </w:r>
          </w:p>
          <w:p w14:paraId="73AC7786" w14:textId="4C09B785" w:rsidR="0067374F" w:rsidRPr="0097091C" w:rsidRDefault="00BE15D2" w:rsidP="00BE15D2">
            <w:r w:rsidRPr="00EF24D1">
              <w:rPr>
                <w:rFonts w:ascii="Arial" w:hAnsi="Arial" w:cs="Arial"/>
                <w:sz w:val="17"/>
                <w:szCs w:val="17"/>
              </w:rPr>
              <w:t>4. ANTONIO PADOA-SCHIOPPA ''A HISTORY OF LAW IN EUROPE- From the Early Middle Ages to the Twentieth Century,'' Cambridge University Press, 2017</w:t>
            </w:r>
          </w:p>
        </w:tc>
      </w:tr>
      <w:tr w:rsidR="009428D7" w:rsidRPr="000819A7" w14:paraId="7F796B2A" w14:textId="77777777" w:rsidTr="006630D0">
        <w:tc>
          <w:tcPr>
            <w:tcW w:w="20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EE25DAD" w14:textId="62D7B6B0" w:rsidR="009428D7" w:rsidRPr="0067374F" w:rsidRDefault="0071141A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141A">
              <w:rPr>
                <w:rFonts w:ascii="Arial" w:hAnsi="Arial" w:cs="Arial"/>
                <w:b/>
                <w:sz w:val="17"/>
                <w:szCs w:val="17"/>
              </w:rPr>
              <w:t>Contact</w:t>
            </w:r>
          </w:p>
        </w:tc>
        <w:tc>
          <w:tcPr>
            <w:tcW w:w="8336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08AD1" w14:textId="77777777" w:rsidR="00E94017" w:rsidRPr="0097091C" w:rsidRDefault="00E94017" w:rsidP="0097091C"/>
          <w:p w14:paraId="2A4A4D04" w14:textId="699EA577" w:rsidR="00941F75" w:rsidRPr="0097091C" w:rsidRDefault="003001E9" w:rsidP="0097091C">
            <w:pPr>
              <w:tabs>
                <w:tab w:val="left" w:pos="1905"/>
                <w:tab w:val="center" w:pos="4060"/>
              </w:tabs>
            </w:pPr>
            <w:r w:rsidRPr="0097091C">
              <w:t xml:space="preserve">Email: </w:t>
            </w:r>
            <w:r w:rsidRPr="0097091C">
              <w:tab/>
            </w:r>
            <w:hyperlink r:id="rId9" w:history="1">
              <w:r w:rsidR="00512478" w:rsidRPr="00612A8F">
                <w:rPr>
                  <w:rStyle w:val="Hyperlink"/>
                </w:rPr>
                <w:t>nuredin.lutfiu@ubt-uni.net</w:t>
              </w:r>
            </w:hyperlink>
            <w:r w:rsidRPr="0097091C">
              <w:t xml:space="preserve">   tel: +38344263193</w:t>
            </w:r>
          </w:p>
        </w:tc>
      </w:tr>
    </w:tbl>
    <w:p w14:paraId="70112CDB" w14:textId="77777777" w:rsidR="00042E3E" w:rsidRDefault="00042E3E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33FD" w14:textId="77777777" w:rsidR="00C4646A" w:rsidRDefault="00C4646A" w:rsidP="0060284D">
      <w:pPr>
        <w:spacing w:after="0" w:line="240" w:lineRule="auto"/>
      </w:pPr>
      <w:r>
        <w:separator/>
      </w:r>
    </w:p>
  </w:endnote>
  <w:endnote w:type="continuationSeparator" w:id="0">
    <w:p w14:paraId="5752BDB4" w14:textId="77777777" w:rsidR="00C4646A" w:rsidRDefault="00C4646A" w:rsidP="006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F1BB" w14:textId="77777777" w:rsidR="00C4646A" w:rsidRDefault="00C4646A" w:rsidP="0060284D">
      <w:pPr>
        <w:spacing w:after="0" w:line="240" w:lineRule="auto"/>
      </w:pPr>
      <w:r>
        <w:separator/>
      </w:r>
    </w:p>
  </w:footnote>
  <w:footnote w:type="continuationSeparator" w:id="0">
    <w:p w14:paraId="70DD1D09" w14:textId="77777777" w:rsidR="00C4646A" w:rsidRDefault="00C4646A" w:rsidP="0060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357"/>
    <w:multiLevelType w:val="hybridMultilevel"/>
    <w:tmpl w:val="9CDC546C"/>
    <w:lvl w:ilvl="0" w:tplc="0A34E5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5A09"/>
    <w:multiLevelType w:val="hybridMultilevel"/>
    <w:tmpl w:val="F78C3714"/>
    <w:lvl w:ilvl="0" w:tplc="AEFC73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940"/>
    <w:multiLevelType w:val="hybridMultilevel"/>
    <w:tmpl w:val="4D4C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921A1"/>
    <w:multiLevelType w:val="hybridMultilevel"/>
    <w:tmpl w:val="9A46081A"/>
    <w:lvl w:ilvl="0" w:tplc="1CD2E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21E8A"/>
    <w:rsid w:val="0003134B"/>
    <w:rsid w:val="00042E3E"/>
    <w:rsid w:val="0008092E"/>
    <w:rsid w:val="000819A7"/>
    <w:rsid w:val="00095E19"/>
    <w:rsid w:val="000A352E"/>
    <w:rsid w:val="000B407D"/>
    <w:rsid w:val="000C6AB8"/>
    <w:rsid w:val="000D2871"/>
    <w:rsid w:val="000D6C57"/>
    <w:rsid w:val="000F5886"/>
    <w:rsid w:val="00103A21"/>
    <w:rsid w:val="00115C1C"/>
    <w:rsid w:val="00145546"/>
    <w:rsid w:val="00182EB6"/>
    <w:rsid w:val="001A3C61"/>
    <w:rsid w:val="001A762F"/>
    <w:rsid w:val="001C3973"/>
    <w:rsid w:val="001C4CDE"/>
    <w:rsid w:val="001C64ED"/>
    <w:rsid w:val="00210AEF"/>
    <w:rsid w:val="00210BE1"/>
    <w:rsid w:val="002334D1"/>
    <w:rsid w:val="00241705"/>
    <w:rsid w:val="0024767A"/>
    <w:rsid w:val="002548B4"/>
    <w:rsid w:val="00264A12"/>
    <w:rsid w:val="002752C4"/>
    <w:rsid w:val="00286328"/>
    <w:rsid w:val="00294A62"/>
    <w:rsid w:val="002C0AE5"/>
    <w:rsid w:val="003001E9"/>
    <w:rsid w:val="003305D3"/>
    <w:rsid w:val="00352DAF"/>
    <w:rsid w:val="003860BD"/>
    <w:rsid w:val="00386ACC"/>
    <w:rsid w:val="003A5734"/>
    <w:rsid w:val="003D0960"/>
    <w:rsid w:val="003D4CCF"/>
    <w:rsid w:val="003E6235"/>
    <w:rsid w:val="003F343C"/>
    <w:rsid w:val="00441D17"/>
    <w:rsid w:val="00444016"/>
    <w:rsid w:val="00450F69"/>
    <w:rsid w:val="0047058A"/>
    <w:rsid w:val="00494226"/>
    <w:rsid w:val="004965C0"/>
    <w:rsid w:val="004B602E"/>
    <w:rsid w:val="004E1044"/>
    <w:rsid w:val="00511388"/>
    <w:rsid w:val="00512478"/>
    <w:rsid w:val="005161EF"/>
    <w:rsid w:val="0052596A"/>
    <w:rsid w:val="00537D52"/>
    <w:rsid w:val="00561745"/>
    <w:rsid w:val="00567E01"/>
    <w:rsid w:val="00597695"/>
    <w:rsid w:val="005A046A"/>
    <w:rsid w:val="005A7786"/>
    <w:rsid w:val="005A7E46"/>
    <w:rsid w:val="005C2952"/>
    <w:rsid w:val="0060284D"/>
    <w:rsid w:val="00605CEC"/>
    <w:rsid w:val="0061478B"/>
    <w:rsid w:val="006175D6"/>
    <w:rsid w:val="006177D8"/>
    <w:rsid w:val="00625108"/>
    <w:rsid w:val="00632D25"/>
    <w:rsid w:val="00647085"/>
    <w:rsid w:val="006630D0"/>
    <w:rsid w:val="0067374F"/>
    <w:rsid w:val="006778AD"/>
    <w:rsid w:val="006A00D9"/>
    <w:rsid w:val="006A2830"/>
    <w:rsid w:val="006A627B"/>
    <w:rsid w:val="006D343D"/>
    <w:rsid w:val="00703490"/>
    <w:rsid w:val="00710E72"/>
    <w:rsid w:val="0071141A"/>
    <w:rsid w:val="00716345"/>
    <w:rsid w:val="007177B1"/>
    <w:rsid w:val="00741B9B"/>
    <w:rsid w:val="00741BC1"/>
    <w:rsid w:val="007728DE"/>
    <w:rsid w:val="00775AC5"/>
    <w:rsid w:val="007B21F5"/>
    <w:rsid w:val="007E66B1"/>
    <w:rsid w:val="00820472"/>
    <w:rsid w:val="0083483B"/>
    <w:rsid w:val="00860611"/>
    <w:rsid w:val="00876AA3"/>
    <w:rsid w:val="008A701F"/>
    <w:rsid w:val="008D10ED"/>
    <w:rsid w:val="008E66E7"/>
    <w:rsid w:val="00915A05"/>
    <w:rsid w:val="00941F75"/>
    <w:rsid w:val="009428D7"/>
    <w:rsid w:val="009510C1"/>
    <w:rsid w:val="009639EB"/>
    <w:rsid w:val="0097091C"/>
    <w:rsid w:val="00976D01"/>
    <w:rsid w:val="0098795A"/>
    <w:rsid w:val="009D258B"/>
    <w:rsid w:val="009D43F5"/>
    <w:rsid w:val="009D6756"/>
    <w:rsid w:val="009E2C08"/>
    <w:rsid w:val="00A61E97"/>
    <w:rsid w:val="00A62F7F"/>
    <w:rsid w:val="00A7457F"/>
    <w:rsid w:val="00A75F20"/>
    <w:rsid w:val="00A9432B"/>
    <w:rsid w:val="00AA2A3F"/>
    <w:rsid w:val="00AB4337"/>
    <w:rsid w:val="00AF528A"/>
    <w:rsid w:val="00B26A5D"/>
    <w:rsid w:val="00B27B0F"/>
    <w:rsid w:val="00B41C69"/>
    <w:rsid w:val="00B7551B"/>
    <w:rsid w:val="00BC4F61"/>
    <w:rsid w:val="00BD2A80"/>
    <w:rsid w:val="00BE15D2"/>
    <w:rsid w:val="00C41D5C"/>
    <w:rsid w:val="00C4646A"/>
    <w:rsid w:val="00C659FD"/>
    <w:rsid w:val="00CC1853"/>
    <w:rsid w:val="00CE5B71"/>
    <w:rsid w:val="00D239B6"/>
    <w:rsid w:val="00D3186A"/>
    <w:rsid w:val="00D321AD"/>
    <w:rsid w:val="00D40282"/>
    <w:rsid w:val="00D621AE"/>
    <w:rsid w:val="00D74D34"/>
    <w:rsid w:val="00D9364A"/>
    <w:rsid w:val="00D93AEC"/>
    <w:rsid w:val="00DA1D04"/>
    <w:rsid w:val="00DD0351"/>
    <w:rsid w:val="00DD53C9"/>
    <w:rsid w:val="00E04D92"/>
    <w:rsid w:val="00E12F51"/>
    <w:rsid w:val="00E1723A"/>
    <w:rsid w:val="00E224FC"/>
    <w:rsid w:val="00E45E7D"/>
    <w:rsid w:val="00E51D4B"/>
    <w:rsid w:val="00E921D1"/>
    <w:rsid w:val="00E92DB8"/>
    <w:rsid w:val="00E94017"/>
    <w:rsid w:val="00E950A8"/>
    <w:rsid w:val="00ED6E29"/>
    <w:rsid w:val="00EF24D1"/>
    <w:rsid w:val="00EF76AB"/>
    <w:rsid w:val="00F00AB2"/>
    <w:rsid w:val="00F13F9F"/>
    <w:rsid w:val="00F26DC7"/>
    <w:rsid w:val="00F42193"/>
    <w:rsid w:val="00F93ECE"/>
    <w:rsid w:val="00F95E7B"/>
    <w:rsid w:val="00FA6A43"/>
    <w:rsid w:val="00FB2972"/>
    <w:rsid w:val="00FB3F2A"/>
    <w:rsid w:val="00FC250A"/>
    <w:rsid w:val="00FC5D5C"/>
    <w:rsid w:val="00FD65AB"/>
    <w:rsid w:val="00FE48BC"/>
    <w:rsid w:val="00FF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FE920"/>
  <w15:docId w15:val="{CEA2A0B0-92EB-4C18-B431-57A06A4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84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84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9401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75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redin.lutfiu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EB5C-8514-4414-9733-DAE8FCF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3805</Characters>
  <Application>Microsoft Office Word</Application>
  <DocSecurity>0</DocSecurity>
  <Lines>317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account</cp:lastModifiedBy>
  <cp:revision>7</cp:revision>
  <cp:lastPrinted>2016-10-12T12:44:00Z</cp:lastPrinted>
  <dcterms:created xsi:type="dcterms:W3CDTF">2023-01-17T15:42:00Z</dcterms:created>
  <dcterms:modified xsi:type="dcterms:W3CDTF">2023-01-17T17:13:00Z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e30d0ebd2ed914e3d5dc76bc2c2f8b003a13bbcb729772dc08353849e6587006</vt:lpwstr>
  </property>
</Properties>
</file>