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A7" w:rsidRPr="00EC6172" w:rsidRDefault="000819A7" w:rsidP="00EC6172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692C02" w:rsidTr="001F2EF3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Subject</w:t>
            </w:r>
          </w:p>
          <w:p w:rsidR="00605CEC" w:rsidRPr="00817854" w:rsidRDefault="00605CEC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92C02" w:rsidRPr="009C3123" w:rsidRDefault="00692C02" w:rsidP="0060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54">
              <w:rPr>
                <w:rFonts w:ascii="Times New Roman" w:hAnsi="Times New Roman" w:cs="Times New Roman"/>
                <w:b/>
                <w:sz w:val="24"/>
                <w:szCs w:val="24"/>
              </w:rPr>
              <w:t>Notary Law</w:t>
            </w:r>
            <w:r w:rsidR="0070111E" w:rsidRPr="00817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0AEF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C1144B" w:rsidRDefault="00236CE5" w:rsidP="00210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</w:tr>
      <w:tr w:rsidR="00210AEF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1654FE" w:rsidRDefault="00C35F01" w:rsidP="000C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 (E</w:t>
            </w:r>
            <w:r w:rsidR="00210AEF" w:rsidRPr="001654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0AEF" w:rsidRPr="00C1144B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C1144B" w:rsidRDefault="00C35F01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C1144B" w:rsidRDefault="00C35F01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0AEF" w:rsidRPr="00C1144B" w:rsidRDefault="00C35F01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DCP-E-1-008</w:t>
            </w:r>
          </w:p>
        </w:tc>
      </w:tr>
      <w:tr w:rsidR="00605CEC" w:rsidRPr="000819A7" w:rsidTr="001F2EF3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817854" w:rsidRDefault="00236CE5" w:rsidP="00C1144B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Course Lecturer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C1144B" w:rsidRDefault="009F5F51" w:rsidP="009428D7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Çerkini</w:t>
            </w:r>
            <w:proofErr w:type="spellEnd"/>
          </w:p>
        </w:tc>
      </w:tr>
      <w:tr w:rsidR="00605CEC" w:rsidRPr="000819A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817854" w:rsidRDefault="00236CE5" w:rsidP="00C1144B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Course Assistant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C1144B" w:rsidRDefault="00605CEC" w:rsidP="009428D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05CEC" w:rsidRPr="000819A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817854" w:rsidRDefault="00236CE5" w:rsidP="00C1144B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Course Tutor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5CEC" w:rsidRPr="00C1144B" w:rsidRDefault="00605CEC" w:rsidP="009428D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05CEC" w:rsidRPr="000819A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Aims and Objectives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A181A" w:rsidRDefault="005A181A" w:rsidP="00F64D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The course aims to teach the principal features of the notarial activity and the structure of the most important notarial deeds.</w:t>
            </w:r>
          </w:p>
          <w:p w:rsidR="00617507" w:rsidRPr="00B77F72" w:rsidRDefault="00617507" w:rsidP="00F64D9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</w:p>
          <w:p w:rsidR="00692C02" w:rsidRPr="005A181A" w:rsidRDefault="005A181A" w:rsidP="00C35F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The syllabus covers all aspects of the law with which notaries are required to deal during their practice, particularly where </w:t>
            </w:r>
            <w:r w:rsidR="00C35F01"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the </w:t>
            </w:r>
            <w:r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notarial form is required for registration purposes and where work is reserved to notaries.</w:t>
            </w:r>
            <w:r w:rsidR="00C35F01"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</w:t>
            </w:r>
            <w:r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Without affecting the generality of the </w:t>
            </w:r>
            <w:r w:rsidR="00C35F01"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foregoing</w:t>
            </w:r>
            <w:r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, the following aspects require particular attention: The practice, functions, ethics, duties</w:t>
            </w:r>
            <w:r w:rsidR="00C35F01"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,</w:t>
            </w:r>
            <w:r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and obligations of notaries public and their admission, removal</w:t>
            </w:r>
            <w:r w:rsidR="00C35F01"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,</w:t>
            </w:r>
            <w:r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and suspension, as well as the notary public’s duties in relation to notarial deeds. The preparation and registration of all types of notarial deeds, including among others: Obligations contracts; Business contracts; Wills</w:t>
            </w:r>
            <w:r w:rsidR="004A0BCD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,</w:t>
            </w:r>
            <w:r w:rsidRPr="00B77F7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etc.  </w:t>
            </w:r>
          </w:p>
        </w:tc>
      </w:tr>
      <w:tr w:rsidR="00605CEC" w:rsidRPr="000819A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Learning Outcomes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F01" w:rsidRDefault="00C35F01" w:rsidP="00C35F0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Upon completion of this module, students shall be able to:</w:t>
            </w:r>
          </w:p>
          <w:p w:rsidR="00C35F01" w:rsidRDefault="00C35F01" w:rsidP="00C35F0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Achieve specialized knowledge on how to write notarial deeds;</w:t>
            </w:r>
          </w:p>
          <w:p w:rsidR="00C35F01" w:rsidRDefault="00C35F01" w:rsidP="00C35F0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C35F01">
              <w:rPr>
                <w:rFonts w:ascii="Arial" w:hAnsi="Arial" w:cs="Arial"/>
                <w:sz w:val="17"/>
                <w:szCs w:val="17"/>
              </w:rPr>
              <w:t xml:space="preserve">Create </w:t>
            </w:r>
            <w:r w:rsidR="004A0BCD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C35F01">
              <w:rPr>
                <w:rFonts w:ascii="Arial" w:hAnsi="Arial" w:cs="Arial"/>
                <w:sz w:val="17"/>
                <w:szCs w:val="17"/>
              </w:rPr>
              <w:t>systematic understanding of principal features of notarial deeds;</w:t>
            </w:r>
          </w:p>
          <w:p w:rsidR="00447D01" w:rsidRDefault="00447D01" w:rsidP="00C35F0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Advance problem-solving skills in solving complex notarial problems;</w:t>
            </w:r>
          </w:p>
          <w:p w:rsidR="00447D01" w:rsidRDefault="00447D01" w:rsidP="00C35F0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Manage teams in designing a notarial deed;</w:t>
            </w:r>
          </w:p>
          <w:p w:rsidR="008068C8" w:rsidRPr="00447D01" w:rsidRDefault="00447D01" w:rsidP="004A0BC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Plan and carry out a research project </w:t>
            </w:r>
            <w:r w:rsidR="004A0BCD"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z w:val="17"/>
                <w:szCs w:val="17"/>
              </w:rPr>
              <w:t xml:space="preserve"> the challenges of </w:t>
            </w:r>
            <w:r w:rsidR="004A0BCD">
              <w:rPr>
                <w:rFonts w:ascii="Arial" w:hAnsi="Arial" w:cs="Arial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sz w:val="17"/>
                <w:szCs w:val="17"/>
              </w:rPr>
              <w:t>notary in Kosovo;</w:t>
            </w:r>
          </w:p>
        </w:tc>
      </w:tr>
      <w:tr w:rsidR="00605CEC" w:rsidRPr="000819A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Course Content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Plan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05CEC" w:rsidRPr="00210AEF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Week</w:t>
            </w:r>
          </w:p>
        </w:tc>
      </w:tr>
      <w:tr w:rsidR="007A10CD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CD" w:rsidRPr="00447D01" w:rsidRDefault="00225065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>History of the</w:t>
            </w:r>
            <w:r w:rsidR="004A0BCD">
              <w:rPr>
                <w:rFonts w:ascii="Arial" w:hAnsi="Arial" w:cs="Arial"/>
                <w:sz w:val="17"/>
                <w:szCs w:val="17"/>
              </w:rPr>
              <w:t xml:space="preserve"> notarial system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7A10CD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BD6" w:rsidRPr="00447D01" w:rsidRDefault="00225065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>Notary practice in Kosovo: The general and ethical part</w:t>
            </w:r>
            <w:r w:rsidR="008F1BD6" w:rsidRPr="00447D0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47D01">
              <w:rPr>
                <w:rFonts w:ascii="Arial" w:hAnsi="Arial" w:cs="Arial"/>
                <w:sz w:val="17"/>
                <w:szCs w:val="17"/>
              </w:rPr>
              <w:t>(general aspects)</w:t>
            </w:r>
          </w:p>
          <w:p w:rsidR="007A10CD" w:rsidRPr="00447D01" w:rsidRDefault="007A10CD" w:rsidP="008F1BD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="007A10CD" w:rsidRPr="000819A7" w:rsidTr="00D343B7">
        <w:trPr>
          <w:trHeight w:hRule="exact" w:val="342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CD" w:rsidRPr="00447D01" w:rsidRDefault="005D0A23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>Notary practice in Kosovo: The special part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="007A10CD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CD" w:rsidRPr="00447D01" w:rsidRDefault="005D0A23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>Notarial acts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</w:t>
            </w:r>
          </w:p>
        </w:tc>
      </w:tr>
      <w:tr w:rsidR="007A10CD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CD" w:rsidRPr="00447D01" w:rsidRDefault="005D0A23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 xml:space="preserve">The right to real estate and notary practice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</w:tr>
      <w:tr w:rsidR="007A10CD" w:rsidRPr="000819A7" w:rsidTr="00072D25">
        <w:trPr>
          <w:trHeight w:hRule="exact" w:val="747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BD6" w:rsidRPr="00447D01" w:rsidRDefault="00072D25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 xml:space="preserve">The right to real estate and notary practices </w:t>
            </w:r>
            <w:r w:rsidRPr="00447D01">
              <w:rPr>
                <w:rFonts w:ascii="Arial" w:hAnsi="Arial" w:cs="Arial"/>
                <w:i/>
                <w:sz w:val="17"/>
                <w:szCs w:val="17"/>
              </w:rPr>
              <w:t>(real rights, different forms of ownership, different forms of real estate transfer, land measurement - cadastre, purpose of a public register, different registration systems).</w:t>
            </w:r>
            <w:r w:rsidR="008F1BD6" w:rsidRPr="00447D0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7A10CD" w:rsidRPr="00447D01" w:rsidRDefault="007A10CD" w:rsidP="008F1BD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6</w:t>
            </w:r>
          </w:p>
        </w:tc>
      </w:tr>
      <w:tr w:rsidR="007A10CD" w:rsidRPr="000819A7" w:rsidTr="00072D25">
        <w:trPr>
          <w:trHeight w:hRule="exact" w:val="531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CD" w:rsidRPr="00447D01" w:rsidRDefault="00072D25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 xml:space="preserve">The right to real estate and notary practice </w:t>
            </w:r>
            <w:r w:rsidRPr="00447D01">
              <w:rPr>
                <w:rFonts w:ascii="Arial" w:hAnsi="Arial" w:cs="Arial"/>
                <w:i/>
                <w:sz w:val="17"/>
                <w:szCs w:val="17"/>
              </w:rPr>
              <w:t xml:space="preserve">(conveyances of real estate: sale, exchange, donation </w:t>
            </w:r>
            <w:proofErr w:type="spellStart"/>
            <w:r w:rsidRPr="00447D01">
              <w:rPr>
                <w:rFonts w:ascii="Arial" w:hAnsi="Arial" w:cs="Arial"/>
                <w:i/>
                <w:sz w:val="17"/>
                <w:szCs w:val="17"/>
              </w:rPr>
              <w:t>etc</w:t>
            </w:r>
            <w:proofErr w:type="spellEnd"/>
            <w:r w:rsidRPr="00447D01">
              <w:rPr>
                <w:rFonts w:ascii="Arial" w:hAnsi="Arial" w:cs="Arial"/>
                <w:i/>
                <w:sz w:val="17"/>
                <w:szCs w:val="17"/>
              </w:rPr>
              <w:t xml:space="preserve"> 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7</w:t>
            </w:r>
          </w:p>
        </w:tc>
      </w:tr>
      <w:tr w:rsidR="007A10CD" w:rsidRPr="000819A7" w:rsidTr="00D343B7">
        <w:trPr>
          <w:trHeight w:hRule="exact" w:val="21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CD" w:rsidRPr="00447D01" w:rsidRDefault="00622854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>First test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8</w:t>
            </w:r>
          </w:p>
        </w:tc>
      </w:tr>
      <w:tr w:rsidR="007A10CD" w:rsidRPr="000819A7" w:rsidTr="00D343B7">
        <w:trPr>
          <w:trHeight w:hRule="exact" w:val="441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CD" w:rsidRPr="00447D01" w:rsidRDefault="00D343B7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 xml:space="preserve">The right to real estate and notary practice </w:t>
            </w:r>
            <w:r w:rsidRPr="00447D01">
              <w:rPr>
                <w:rFonts w:ascii="Arial" w:hAnsi="Arial" w:cs="Arial"/>
                <w:i/>
                <w:sz w:val="17"/>
                <w:szCs w:val="17"/>
              </w:rPr>
              <w:t>( Pledge, Mortgage, the right of construction)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9</w:t>
            </w:r>
          </w:p>
        </w:tc>
      </w:tr>
      <w:tr w:rsidR="007A10CD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CD" w:rsidRPr="00447D01" w:rsidRDefault="004C4882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 xml:space="preserve">Commercial law and notarial practice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10</w:t>
            </w:r>
          </w:p>
        </w:tc>
      </w:tr>
      <w:tr w:rsidR="007A10CD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CD" w:rsidRPr="00447D01" w:rsidRDefault="004C4882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 xml:space="preserve">The marriage law and notary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11</w:t>
            </w:r>
          </w:p>
        </w:tc>
      </w:tr>
      <w:tr w:rsidR="007A10CD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0CD" w:rsidRPr="00447D01" w:rsidRDefault="004C4882" w:rsidP="008F1BD6">
            <w:pPr>
              <w:rPr>
                <w:rFonts w:ascii="Arial" w:hAnsi="Arial" w:cs="Arial"/>
                <w:sz w:val="17"/>
                <w:szCs w:val="17"/>
              </w:rPr>
            </w:pPr>
            <w:r w:rsidRPr="00447D01">
              <w:rPr>
                <w:rFonts w:ascii="Arial" w:hAnsi="Arial" w:cs="Arial"/>
                <w:sz w:val="17"/>
                <w:szCs w:val="17"/>
              </w:rPr>
              <w:t xml:space="preserve">Inheritance law and notary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7A10CD" w:rsidRPr="00447D01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447D0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12</w:t>
            </w:r>
          </w:p>
        </w:tc>
      </w:tr>
      <w:tr w:rsidR="00447D01" w:rsidRPr="000819A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447D01" w:rsidRPr="00210AEF" w:rsidRDefault="00447D0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D01" w:rsidRPr="00447D01" w:rsidRDefault="00AA00FE" w:rsidP="008F1BD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Notary deed formulation (assignment)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47D01" w:rsidRPr="00447D01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13</w:t>
            </w:r>
          </w:p>
        </w:tc>
      </w:tr>
      <w:tr w:rsidR="00AA00FE" w:rsidRPr="000819A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AA00FE" w:rsidRPr="00210AEF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0FE" w:rsidRDefault="00AA00FE" w:rsidP="008F1BD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Research paper (literature review or empirical)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A00FE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14</w:t>
            </w:r>
          </w:p>
        </w:tc>
      </w:tr>
      <w:tr w:rsidR="00AA00FE" w:rsidRPr="000819A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AA00FE" w:rsidRPr="00210AEF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0FE" w:rsidRDefault="00AA00FE" w:rsidP="008F1BD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Case study final examination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A00FE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15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Teaching/Learning Methods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2EF3" w:rsidRPr="00E12F51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Teaching/Learning Activity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F2EF3" w:rsidRPr="00E12F51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Weight</w:t>
            </w:r>
            <w:r w:rsidRPr="00E12F51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EF3" w:rsidRPr="00617507" w:rsidRDefault="001F2EF3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Lectures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617507" w:rsidRDefault="00EF5537" w:rsidP="008D5C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40 %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EF3" w:rsidRPr="00617507" w:rsidRDefault="00AA00FE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Exercises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617507" w:rsidRDefault="00EF5537" w:rsidP="008D5C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30 %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EF3" w:rsidRPr="00617507" w:rsidRDefault="00AA00FE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Case studies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617507" w:rsidRDefault="00EF553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10 %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EF3" w:rsidRPr="00617507" w:rsidRDefault="00AA00FE" w:rsidP="00AA00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Study visit in notary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617507" w:rsidRDefault="00EF553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10</w:t>
            </w:r>
            <w:r w:rsidR="001F2EF3" w:rsidRPr="00617507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EF3" w:rsidRPr="00617507" w:rsidRDefault="001F2EF3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Role play</w:t>
            </w:r>
            <w:r w:rsidR="00AA00FE" w:rsidRPr="00617507">
              <w:rPr>
                <w:rFonts w:ascii="Arial" w:hAnsi="Arial" w:cs="Arial"/>
                <w:sz w:val="17"/>
                <w:szCs w:val="17"/>
              </w:rPr>
              <w:t xml:space="preserve"> in notarial deed formulation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617507" w:rsidRDefault="00EF5537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10 %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Assessment Methods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2EF3" w:rsidRPr="008500F3" w:rsidRDefault="001F2EF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Assessment Activity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2EF3" w:rsidRPr="008500F3" w:rsidRDefault="001F2EF3" w:rsidP="00210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F2EF3" w:rsidRPr="008500F3" w:rsidRDefault="001F2EF3" w:rsidP="004C4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Weight (%)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266DB6" w:rsidP="005025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Attendance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1F2EF3" w:rsidP="00ED6507">
            <w:pPr>
              <w:tabs>
                <w:tab w:val="center" w:pos="558"/>
                <w:tab w:val="left" w:pos="990"/>
              </w:tabs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ab/>
            </w:r>
            <w:r w:rsidR="00266DB6" w:rsidRPr="00E166F0">
              <w:rPr>
                <w:rFonts w:ascii="Arial" w:hAnsi="Arial" w:cs="Arial"/>
                <w:sz w:val="17"/>
                <w:szCs w:val="17"/>
              </w:rPr>
              <w:t>1</w:t>
            </w:r>
            <w:r w:rsidRPr="00E166F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266DB6" w:rsidP="00ED650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10 %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0B12D1" w:rsidP="00210A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Group project</w:t>
            </w:r>
            <w:r w:rsidR="00266DB6" w:rsidRPr="00E166F0">
              <w:rPr>
                <w:rFonts w:ascii="Arial" w:hAnsi="Arial" w:cs="Arial"/>
                <w:sz w:val="17"/>
                <w:szCs w:val="17"/>
              </w:rPr>
              <w:t xml:space="preserve"> notarial deed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266DB6" w:rsidP="007A10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20 %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266DB6" w:rsidP="00210A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 xml:space="preserve">Research paper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266DB6" w:rsidP="004C48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E166F0" w:rsidRDefault="00EC617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30 %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EC6172" w:rsidP="001F2E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 xml:space="preserve">Case study </w:t>
            </w:r>
            <w:r w:rsidR="000B12D1" w:rsidRPr="00E166F0">
              <w:rPr>
                <w:rFonts w:ascii="Arial" w:hAnsi="Arial" w:cs="Arial"/>
                <w:sz w:val="17"/>
                <w:szCs w:val="17"/>
              </w:rPr>
              <w:t>Final exam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EC617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66F0" w:rsidRDefault="00EC6172" w:rsidP="004C48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E166F0" w:rsidRDefault="00EC617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40 %</w:t>
            </w:r>
          </w:p>
        </w:tc>
      </w:tr>
      <w:tr w:rsidR="001F2EF3" w:rsidRPr="000819A7" w:rsidTr="004D3801">
        <w:trPr>
          <w:trHeight w:hRule="exact" w:val="8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resources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2EF3" w:rsidRPr="008500F3" w:rsidRDefault="001F2EF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F2EF3" w:rsidRPr="001654FE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654FE">
              <w:rPr>
                <w:rFonts w:ascii="Arial" w:hAnsi="Arial" w:cs="Arial"/>
                <w:b/>
                <w:sz w:val="17"/>
                <w:szCs w:val="17"/>
              </w:rPr>
              <w:t>Number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EF3" w:rsidRPr="00B6132C" w:rsidRDefault="003A0CDE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Lectures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EF3" w:rsidRPr="00B6132C" w:rsidRDefault="00EC6172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6132C">
              <w:rPr>
                <w:rFonts w:ascii="Arial" w:hAnsi="Arial" w:cs="Arial"/>
                <w:sz w:val="17"/>
                <w:szCs w:val="17"/>
              </w:rPr>
              <w:t>Study visit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EF3" w:rsidRPr="00B6132C" w:rsidRDefault="001F2EF3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6132C">
              <w:rPr>
                <w:rFonts w:ascii="Arial" w:hAnsi="Arial" w:cs="Arial"/>
                <w:sz w:val="17"/>
                <w:szCs w:val="17"/>
              </w:rPr>
              <w:t>Moodle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EF3" w:rsidRPr="00B6132C" w:rsidRDefault="001F2EF3" w:rsidP="000B12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6132C">
              <w:rPr>
                <w:rFonts w:ascii="Arial" w:hAnsi="Arial" w:cs="Arial"/>
                <w:sz w:val="17"/>
                <w:szCs w:val="17"/>
              </w:rPr>
              <w:t>Proje</w:t>
            </w:r>
            <w:r w:rsidR="000B12D1" w:rsidRPr="00B6132C">
              <w:rPr>
                <w:rFonts w:ascii="Arial" w:hAnsi="Arial" w:cs="Arial"/>
                <w:sz w:val="17"/>
                <w:szCs w:val="17"/>
              </w:rPr>
              <w:t>c</w:t>
            </w:r>
            <w:r w:rsidRPr="00B6132C">
              <w:rPr>
                <w:rFonts w:ascii="Arial" w:hAnsi="Arial" w:cs="Arial"/>
                <w:sz w:val="17"/>
                <w:szCs w:val="17"/>
              </w:rPr>
              <w:t>tor</w:t>
            </w:r>
            <w:r w:rsidR="001B7DD7" w:rsidRPr="00B6132C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:rsidTr="00817854">
        <w:trPr>
          <w:trHeight w:hRule="exact" w:val="8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F2EF3" w:rsidRPr="00817854" w:rsidRDefault="001F2EF3" w:rsidP="008178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ECTS Workload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2EF3" w:rsidRPr="008500F3" w:rsidRDefault="001F2EF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Weekly hrs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Total workload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D502E3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Lectures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Exercises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Notarial deed formulation-Team project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D502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Study visit in the notary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/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1F2EF3" w:rsidRPr="000819A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Research paper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1F2EF3" w:rsidRPr="000819A7" w:rsidTr="00AA00FE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Case study final examination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30</w:t>
            </w:r>
          </w:p>
        </w:tc>
      </w:tr>
      <w:tr w:rsidR="00AA00FE" w:rsidRPr="000819A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AA00FE" w:rsidRPr="0067374F" w:rsidRDefault="00AA00FE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A00FE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Independent study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A00FE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00FE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F2EF3" w:rsidRPr="000819A7" w:rsidTr="004C4882">
        <w:trPr>
          <w:trHeight w:val="61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67374F" w:rsidRDefault="001F2EF3" w:rsidP="0067374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Literature/References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2445" w:rsidRPr="00EC6172" w:rsidRDefault="00012445" w:rsidP="000E6D9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B.Preteni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&amp;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A.Beshi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(2021)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Komentari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Ligjit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për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Noteri.Kosovo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Notary Chamber</w:t>
            </w:r>
          </w:p>
          <w:p w:rsidR="00036F44" w:rsidRDefault="00036F44" w:rsidP="000E6D9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Micheal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Closen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(2018), Notary Best Practises, </w:t>
            </w:r>
            <w:r w:rsidRPr="00036F44">
              <w:rPr>
                <w:rFonts w:ascii="Arial" w:hAnsi="Arial" w:cs="Arial"/>
                <w:sz w:val="17"/>
                <w:szCs w:val="17"/>
              </w:rPr>
              <w:t>National Notary Association</w:t>
            </w:r>
          </w:p>
          <w:p w:rsidR="004C4882" w:rsidRPr="00EC6172" w:rsidRDefault="004C4882" w:rsidP="000E6D9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Ligji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për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Noterinë</w:t>
            </w:r>
            <w:proofErr w:type="gramStart"/>
            <w:r w:rsidRPr="00EC6172">
              <w:rPr>
                <w:rFonts w:ascii="Arial" w:hAnsi="Arial" w:cs="Arial"/>
                <w:sz w:val="17"/>
                <w:szCs w:val="17"/>
              </w:rPr>
              <w:t>,Nr</w:t>
            </w:r>
            <w:proofErr w:type="spellEnd"/>
            <w:proofErr w:type="gramEnd"/>
            <w:r w:rsidRPr="00EC6172">
              <w:rPr>
                <w:rFonts w:ascii="Arial" w:hAnsi="Arial" w:cs="Arial"/>
                <w:sz w:val="17"/>
                <w:szCs w:val="17"/>
              </w:rPr>
              <w:t>. 03/L-010 (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Gazeta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Zyrtare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Republikës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së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Kosovës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Prishtinë:Viti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III/Nr.42/25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Nëntor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2008). </w:t>
            </w:r>
          </w:p>
          <w:p w:rsidR="004C4882" w:rsidRPr="00EC6172" w:rsidRDefault="008578F1" w:rsidP="000E6D9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B.Preteni</w:t>
            </w:r>
            <w:r w:rsidR="004C4882" w:rsidRPr="00EC6172">
              <w:rPr>
                <w:rFonts w:ascii="Arial" w:hAnsi="Arial" w:cs="Arial"/>
                <w:sz w:val="17"/>
                <w:szCs w:val="17"/>
              </w:rPr>
              <w:t>.Aktet</w:t>
            </w:r>
            <w:proofErr w:type="spellEnd"/>
            <w:r w:rsidR="004C4882"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C4882" w:rsidRPr="00EC6172">
              <w:rPr>
                <w:rFonts w:ascii="Arial" w:hAnsi="Arial" w:cs="Arial"/>
                <w:sz w:val="17"/>
                <w:szCs w:val="17"/>
              </w:rPr>
              <w:t>note</w:t>
            </w:r>
            <w:r w:rsidRPr="00EC6172">
              <w:rPr>
                <w:rFonts w:ascii="Arial" w:hAnsi="Arial" w:cs="Arial"/>
                <w:sz w:val="17"/>
                <w:szCs w:val="17"/>
              </w:rPr>
              <w:t>riale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pavlefshmëria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tyre.</w:t>
            </w:r>
            <w:r w:rsidR="004C4882" w:rsidRPr="00EC6172">
              <w:rPr>
                <w:rFonts w:ascii="Arial" w:hAnsi="Arial" w:cs="Arial"/>
                <w:sz w:val="17"/>
                <w:szCs w:val="17"/>
              </w:rPr>
              <w:t>Revista</w:t>
            </w:r>
            <w:proofErr w:type="spellEnd"/>
            <w:r w:rsidR="004C4882"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C4882" w:rsidRPr="00EC6172">
              <w:rPr>
                <w:rFonts w:ascii="Arial" w:hAnsi="Arial" w:cs="Arial"/>
                <w:sz w:val="17"/>
                <w:szCs w:val="17"/>
              </w:rPr>
              <w:t>Shkencore</w:t>
            </w:r>
            <w:proofErr w:type="spellEnd"/>
            <w:r w:rsidR="004C4882"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C4882" w:rsidRPr="00EC6172">
              <w:rPr>
                <w:rFonts w:ascii="Arial" w:hAnsi="Arial" w:cs="Arial"/>
                <w:sz w:val="17"/>
                <w:szCs w:val="17"/>
              </w:rPr>
              <w:t>Juridica</w:t>
            </w:r>
            <w:proofErr w:type="spellEnd"/>
            <w:r w:rsidR="004C4882" w:rsidRPr="00EC6172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4C4882" w:rsidRPr="00EC6172" w:rsidRDefault="00ED6507" w:rsidP="000E6D9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C6172">
              <w:rPr>
                <w:rFonts w:ascii="Arial" w:hAnsi="Arial" w:cs="Arial"/>
                <w:sz w:val="17"/>
                <w:szCs w:val="17"/>
                <w:lang w:val="hr-HR" w:eastAsia="hr-HR"/>
              </w:rPr>
              <w:t>M.Beka (2009),</w:t>
            </w:r>
            <w:r w:rsidR="008578F1" w:rsidRPr="00EC6172">
              <w:rPr>
                <w:rFonts w:ascii="Arial" w:hAnsi="Arial" w:cs="Arial"/>
                <w:sz w:val="17"/>
                <w:szCs w:val="17"/>
                <w:lang w:val="hr-HR" w:eastAsia="hr-HR"/>
              </w:rPr>
              <w:t>Noteria dhe Kadastri në Kosovë,</w:t>
            </w:r>
            <w:r w:rsidR="004C4882" w:rsidRPr="00EC6172">
              <w:rPr>
                <w:rFonts w:ascii="Arial" w:hAnsi="Arial" w:cs="Arial"/>
                <w:sz w:val="17"/>
                <w:szCs w:val="17"/>
                <w:lang w:val="hr-HR" w:eastAsia="hr-HR"/>
              </w:rPr>
              <w:t xml:space="preserve">Prishtinë. </w:t>
            </w:r>
            <w:bookmarkStart w:id="0" w:name="_GoBack"/>
            <w:bookmarkEnd w:id="0"/>
          </w:p>
          <w:p w:rsidR="008578F1" w:rsidRDefault="004C4882" w:rsidP="000E6D9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C6172">
              <w:rPr>
                <w:rStyle w:val="authors"/>
                <w:rFonts w:ascii="Arial" w:hAnsi="Arial" w:cs="Arial"/>
                <w:sz w:val="17"/>
                <w:szCs w:val="17"/>
                <w:shd w:val="clear" w:color="auto" w:fill="FFFFFF"/>
              </w:rPr>
              <w:t>A.Jashari</w:t>
            </w:r>
            <w:r w:rsidR="00ED6507" w:rsidRPr="00EC6172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Roli</w:t>
            </w:r>
            <w:proofErr w:type="spellEnd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i</w:t>
            </w:r>
            <w:proofErr w:type="spellEnd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noterit</w:t>
            </w:r>
            <w:proofErr w:type="spellEnd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n</w:t>
            </w:r>
            <w:r w:rsidR="00ED6507"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ë</w:t>
            </w:r>
            <w:proofErr w:type="spellEnd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zbatimin</w:t>
            </w:r>
            <w:proofErr w:type="spellEnd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e </w:t>
            </w:r>
            <w:proofErr w:type="spellStart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s</w:t>
            </w:r>
            <w:r w:rsidR="00ED6507"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ë</w:t>
            </w:r>
            <w:proofErr w:type="spellEnd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drejt</w:t>
            </w:r>
            <w:r w:rsidR="00ED6507"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ë</w:t>
            </w:r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s</w:t>
            </w:r>
            <w:proofErr w:type="spellEnd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tregtare</w:t>
            </w:r>
            <w:proofErr w:type="spellEnd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n</w:t>
            </w:r>
            <w:r w:rsidR="00ED6507"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ë</w:t>
            </w:r>
            <w:proofErr w:type="spellEnd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Kosov</w:t>
            </w:r>
            <w:r w:rsidR="00ED6507" w:rsidRPr="00EC6172">
              <w:rPr>
                <w:rStyle w:val="Title1"/>
                <w:rFonts w:ascii="Arial" w:hAnsi="Arial" w:cs="Arial"/>
                <w:bCs/>
                <w:sz w:val="17"/>
                <w:szCs w:val="17"/>
                <w:shd w:val="clear" w:color="auto" w:fill="FFFFFF"/>
              </w:rPr>
              <w:t>ë</w:t>
            </w:r>
            <w:r w:rsidR="000B448B" w:rsidRPr="00EC6172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.</w:t>
            </w:r>
            <w:r w:rsidRPr="00EC6172">
              <w:rPr>
                <w:rStyle w:val="collection"/>
                <w:rFonts w:ascii="Arial" w:hAnsi="Arial" w:cs="Arial"/>
                <w:sz w:val="17"/>
                <w:szCs w:val="17"/>
                <w:shd w:val="clear" w:color="auto" w:fill="FFFFFF"/>
              </w:rPr>
              <w:t>In</w:t>
            </w:r>
            <w:proofErr w:type="spellEnd"/>
            <w:r w:rsidRPr="00EC6172">
              <w:rPr>
                <w:rStyle w:val="collection"/>
                <w:rFonts w:ascii="Arial" w:hAnsi="Arial" w:cs="Arial"/>
                <w:i/>
                <w:sz w:val="17"/>
                <w:szCs w:val="17"/>
                <w:shd w:val="clear" w:color="auto" w:fill="FFFFFF"/>
              </w:rPr>
              <w:t> </w:t>
            </w:r>
            <w:proofErr w:type="spell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Projekt</w:t>
            </w:r>
            <w:proofErr w:type="spellEnd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shkencor</w:t>
            </w:r>
            <w:proofErr w:type="spellEnd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i</w:t>
            </w:r>
            <w:proofErr w:type="spellEnd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organizuar</w:t>
            </w:r>
            <w:proofErr w:type="spellEnd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nga</w:t>
            </w:r>
            <w:proofErr w:type="spellEnd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 xml:space="preserve"> Oda e </w:t>
            </w:r>
            <w:proofErr w:type="spell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Noterve</w:t>
            </w:r>
            <w:proofErr w:type="spellEnd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te</w:t>
            </w:r>
            <w:proofErr w:type="spellEnd"/>
            <w:proofErr w:type="gramEnd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Kosoves</w:t>
            </w:r>
            <w:proofErr w:type="spellEnd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dhe</w:t>
            </w:r>
            <w:proofErr w:type="spellEnd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Komsioni</w:t>
            </w:r>
            <w:proofErr w:type="spellEnd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C6172">
              <w:rPr>
                <w:rStyle w:val="Emphasis"/>
                <w:rFonts w:ascii="Arial" w:hAnsi="Arial" w:cs="Arial"/>
                <w:i w:val="0"/>
                <w:sz w:val="17"/>
                <w:szCs w:val="17"/>
                <w:shd w:val="clear" w:color="auto" w:fill="FFFFFF"/>
              </w:rPr>
              <w:t>Europian</w:t>
            </w:r>
            <w:proofErr w:type="spellEnd"/>
            <w:r w:rsidRPr="00EC6172">
              <w:rPr>
                <w:rStyle w:val="collection"/>
                <w:rFonts w:ascii="Arial" w:hAnsi="Arial" w:cs="Arial"/>
                <w:sz w:val="17"/>
                <w:szCs w:val="17"/>
                <w:shd w:val="clear" w:color="auto" w:fill="FFFFFF"/>
              </w:rPr>
              <w:t>. 2018.</w:t>
            </w:r>
            <w:r w:rsidR="008578F1"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E6D97" w:rsidRPr="00EC6172" w:rsidRDefault="000E6D97" w:rsidP="000E6D9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Osmanaj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>, E.</w:t>
            </w:r>
            <w:proofErr w:type="gramStart"/>
            <w:r w:rsidRPr="00EC6172">
              <w:rPr>
                <w:rFonts w:ascii="Arial" w:hAnsi="Arial" w:cs="Arial"/>
                <w:sz w:val="17"/>
                <w:szCs w:val="17"/>
              </w:rPr>
              <w:t>,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Jashari,A</w:t>
            </w:r>
            <w:proofErr w:type="spellEnd"/>
            <w:proofErr w:type="gramEnd"/>
            <w:r w:rsidRPr="00EC6172">
              <w:rPr>
                <w:rFonts w:ascii="Arial" w:hAnsi="Arial" w:cs="Arial"/>
                <w:sz w:val="17"/>
                <w:szCs w:val="17"/>
              </w:rPr>
              <w:t xml:space="preserve">. (2017)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Transformimi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shoqërive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tregtare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prej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një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formë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formë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tjetër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Maqedoni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Kosovë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Shqipëri-Aspekt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krahasimor.Konferenca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e IV-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Multidisiplinore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më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temë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>: “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Roli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shkencës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zhvillimin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sistemit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edukimit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shkollor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universitar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sistemit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ekonomik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politik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, social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juridik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shekullin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ri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.”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Pejë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Nëntor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2017.</w:t>
            </w:r>
          </w:p>
          <w:p w:rsidR="000B448B" w:rsidRPr="00992863" w:rsidRDefault="000E6D97" w:rsidP="00992863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Osmanaj,E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., (2018)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Bazat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juridike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thirrjes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trashëgimi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sipas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drejtës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positive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Republikën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Kosovës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Drejtës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Komparative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>”.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Distertacioni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Temës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se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Doktoratures.Universiteti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Evropes</w:t>
            </w:r>
            <w:proofErr w:type="spellEnd"/>
            <w:r w:rsidRPr="00EC617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C6172">
              <w:rPr>
                <w:rFonts w:ascii="Arial" w:hAnsi="Arial" w:cs="Arial"/>
                <w:sz w:val="17"/>
                <w:szCs w:val="17"/>
              </w:rPr>
              <w:t>Juglindore.Tetovë</w:t>
            </w:r>
            <w:proofErr w:type="spellEnd"/>
          </w:p>
        </w:tc>
      </w:tr>
      <w:tr w:rsidR="001F2EF3" w:rsidRPr="000819A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1F2EF3" w:rsidRPr="00716046" w:rsidRDefault="001F2EF3" w:rsidP="00210AEF">
            <w:pPr>
              <w:rPr>
                <w:rFonts w:ascii="Times New Roman" w:hAnsi="Times New Roman" w:cs="Times New Roman"/>
                <w:b/>
              </w:rPr>
            </w:pPr>
            <w:r w:rsidRPr="00716046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7854" w:rsidRDefault="00817854" w:rsidP="00717DA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:rsidR="001F2EF3" w:rsidRPr="00EC6172" w:rsidRDefault="00EC6172" w:rsidP="00717DA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EC617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Dr.</w:t>
            </w:r>
            <w:proofErr w:type="spellEnd"/>
            <w:r w:rsidRPr="00EC617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EC617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Artan</w:t>
            </w:r>
            <w:proofErr w:type="spellEnd"/>
            <w:r w:rsidRPr="00EC617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EC617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Çerkini</w:t>
            </w:r>
            <w:proofErr w:type="spellEnd"/>
            <w:r w:rsidRPr="00EC6172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E-mail: artan.cerkini@ubt-uni.net</w:t>
            </w:r>
          </w:p>
        </w:tc>
      </w:tr>
    </w:tbl>
    <w:p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p w:rsidR="00042E3E" w:rsidRDefault="00042E3E"/>
    <w:p w:rsidR="00BB6CB7" w:rsidRDefault="00ED6507">
      <w:r>
        <w:t xml:space="preserve">  </w:t>
      </w:r>
    </w:p>
    <w:p w:rsidR="00BB6CB7" w:rsidRDefault="00BB6CB7"/>
    <w:p w:rsidR="00BB6CB7" w:rsidRDefault="00BB6CB7"/>
    <w:p w:rsidR="00BB6CB7" w:rsidRDefault="00BB6CB7"/>
    <w:p w:rsidR="00A94251" w:rsidRDefault="00A94251" w:rsidP="00A94251"/>
    <w:sectPr w:rsidR="00A94251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600C"/>
    <w:multiLevelType w:val="multilevel"/>
    <w:tmpl w:val="DB96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B5281"/>
    <w:multiLevelType w:val="hybridMultilevel"/>
    <w:tmpl w:val="5A18CB5C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7F2E"/>
    <w:multiLevelType w:val="hybridMultilevel"/>
    <w:tmpl w:val="B290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F35E0"/>
    <w:multiLevelType w:val="hybridMultilevel"/>
    <w:tmpl w:val="410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206E9"/>
    <w:multiLevelType w:val="hybridMultilevel"/>
    <w:tmpl w:val="89BC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930E9"/>
    <w:multiLevelType w:val="hybridMultilevel"/>
    <w:tmpl w:val="3D0E8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C7BFF"/>
    <w:multiLevelType w:val="hybridMultilevel"/>
    <w:tmpl w:val="2EC25080"/>
    <w:lvl w:ilvl="0" w:tplc="ACDCE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E5645"/>
    <w:multiLevelType w:val="hybridMultilevel"/>
    <w:tmpl w:val="B7EC4762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12445"/>
    <w:rsid w:val="0002032B"/>
    <w:rsid w:val="0003134B"/>
    <w:rsid w:val="00036DE1"/>
    <w:rsid w:val="00036F44"/>
    <w:rsid w:val="00042E3E"/>
    <w:rsid w:val="00057C7C"/>
    <w:rsid w:val="00072D25"/>
    <w:rsid w:val="000819A7"/>
    <w:rsid w:val="000B12D1"/>
    <w:rsid w:val="000B448B"/>
    <w:rsid w:val="000C6AB8"/>
    <w:rsid w:val="000E6D97"/>
    <w:rsid w:val="001075A9"/>
    <w:rsid w:val="0014241A"/>
    <w:rsid w:val="001620E4"/>
    <w:rsid w:val="001654FE"/>
    <w:rsid w:val="001B7DD7"/>
    <w:rsid w:val="001D53EA"/>
    <w:rsid w:val="001D7C39"/>
    <w:rsid w:val="001E4FE1"/>
    <w:rsid w:val="001F2EF3"/>
    <w:rsid w:val="00210AEF"/>
    <w:rsid w:val="00225065"/>
    <w:rsid w:val="00236CE5"/>
    <w:rsid w:val="00266DB6"/>
    <w:rsid w:val="003305D3"/>
    <w:rsid w:val="003A0CDE"/>
    <w:rsid w:val="00400F82"/>
    <w:rsid w:val="00447D01"/>
    <w:rsid w:val="004A0BCD"/>
    <w:rsid w:val="004A19E5"/>
    <w:rsid w:val="004C4882"/>
    <w:rsid w:val="004C4CBB"/>
    <w:rsid w:val="004D3801"/>
    <w:rsid w:val="0050256A"/>
    <w:rsid w:val="00532524"/>
    <w:rsid w:val="005A181A"/>
    <w:rsid w:val="005D0A23"/>
    <w:rsid w:val="00605CEC"/>
    <w:rsid w:val="00617507"/>
    <w:rsid w:val="00622854"/>
    <w:rsid w:val="0067374F"/>
    <w:rsid w:val="00692C02"/>
    <w:rsid w:val="006A7648"/>
    <w:rsid w:val="0070111E"/>
    <w:rsid w:val="00716046"/>
    <w:rsid w:val="00717DAB"/>
    <w:rsid w:val="00720DAE"/>
    <w:rsid w:val="007351BF"/>
    <w:rsid w:val="007665F0"/>
    <w:rsid w:val="0079477E"/>
    <w:rsid w:val="007A10CD"/>
    <w:rsid w:val="007D7DAE"/>
    <w:rsid w:val="007E15E2"/>
    <w:rsid w:val="008068C8"/>
    <w:rsid w:val="00817854"/>
    <w:rsid w:val="00822224"/>
    <w:rsid w:val="008500F3"/>
    <w:rsid w:val="008578F1"/>
    <w:rsid w:val="00865B02"/>
    <w:rsid w:val="008D5C79"/>
    <w:rsid w:val="008F1BD6"/>
    <w:rsid w:val="00901555"/>
    <w:rsid w:val="00913F9A"/>
    <w:rsid w:val="009352AA"/>
    <w:rsid w:val="0093564C"/>
    <w:rsid w:val="009428D7"/>
    <w:rsid w:val="00992863"/>
    <w:rsid w:val="009A1778"/>
    <w:rsid w:val="009B5EDC"/>
    <w:rsid w:val="009C3123"/>
    <w:rsid w:val="009F5F51"/>
    <w:rsid w:val="00A555A2"/>
    <w:rsid w:val="00A86F4D"/>
    <w:rsid w:val="00A94251"/>
    <w:rsid w:val="00AA00FE"/>
    <w:rsid w:val="00B35A38"/>
    <w:rsid w:val="00B6132C"/>
    <w:rsid w:val="00B77F72"/>
    <w:rsid w:val="00BA7648"/>
    <w:rsid w:val="00BB6CB7"/>
    <w:rsid w:val="00BD0E37"/>
    <w:rsid w:val="00C06DF1"/>
    <w:rsid w:val="00C1144B"/>
    <w:rsid w:val="00C35F01"/>
    <w:rsid w:val="00CE1FCC"/>
    <w:rsid w:val="00CE6DD1"/>
    <w:rsid w:val="00D10C66"/>
    <w:rsid w:val="00D343B7"/>
    <w:rsid w:val="00D502E3"/>
    <w:rsid w:val="00D53981"/>
    <w:rsid w:val="00E12F51"/>
    <w:rsid w:val="00E1547C"/>
    <w:rsid w:val="00E166F0"/>
    <w:rsid w:val="00E85871"/>
    <w:rsid w:val="00EC6172"/>
    <w:rsid w:val="00ED0D2D"/>
    <w:rsid w:val="00ED5F46"/>
    <w:rsid w:val="00ED6507"/>
    <w:rsid w:val="00EF5537"/>
    <w:rsid w:val="00F06093"/>
    <w:rsid w:val="00F64D9F"/>
    <w:rsid w:val="00F9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136C9-0E49-4069-833A-99ACCF39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92C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2C02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4C4882"/>
    <w:rPr>
      <w:i/>
      <w:iCs/>
    </w:rPr>
  </w:style>
  <w:style w:type="character" w:customStyle="1" w:styleId="authors">
    <w:name w:val="authors"/>
    <w:basedOn w:val="DefaultParagraphFont"/>
    <w:rsid w:val="004C4882"/>
  </w:style>
  <w:style w:type="character" w:customStyle="1" w:styleId="Title1">
    <w:name w:val="Title1"/>
    <w:basedOn w:val="DefaultParagraphFont"/>
    <w:rsid w:val="004C4882"/>
  </w:style>
  <w:style w:type="character" w:customStyle="1" w:styleId="collection">
    <w:name w:val="collection"/>
    <w:basedOn w:val="DefaultParagraphFont"/>
    <w:rsid w:val="004C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5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0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Microsoft account</cp:lastModifiedBy>
  <cp:revision>45</cp:revision>
  <dcterms:created xsi:type="dcterms:W3CDTF">2021-12-23T11:12:00Z</dcterms:created>
  <dcterms:modified xsi:type="dcterms:W3CDTF">2021-12-26T14:32:00Z</dcterms:modified>
</cp:coreProperties>
</file>