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D857" w14:textId="77777777" w:rsidR="009C2A4D" w:rsidRDefault="009C2A4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26CFC882" w14:textId="7BC471AE" w:rsidR="009C2A4D" w:rsidRDefault="00B3050B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>
        <w:rPr>
          <w:rStyle w:val="yiv7560409957s1"/>
          <w:noProof/>
        </w:rPr>
        <w:drawing>
          <wp:inline distT="0" distB="0" distL="0" distR="0" wp14:anchorId="1603679A" wp14:editId="0CF68824">
            <wp:extent cx="1089498" cy="1453246"/>
            <wp:effectExtent l="0" t="0" r="0" b="0"/>
            <wp:docPr id="13717206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21" cy="14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A9D99" w14:textId="7A8D38C3" w:rsidR="004F5B5D" w:rsidRDefault="004F5B5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588BFA1E" w14:textId="77777777" w:rsidR="009C2A4D" w:rsidRDefault="009C2A4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7D2A5DC0" w14:textId="2CD9717A" w:rsidR="006522A1" w:rsidRDefault="001E6F6A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proofErr w:type="spellStart"/>
      <w:r>
        <w:rPr>
          <w:rStyle w:val="yiv7560409957s1"/>
        </w:rPr>
        <w:t>Prof.Ass.Dr</w:t>
      </w:r>
      <w:proofErr w:type="spellEnd"/>
      <w:r w:rsidR="00B3050B">
        <w:rPr>
          <w:rStyle w:val="yiv7560409957s1"/>
        </w:rPr>
        <w:t>. Gjon Culaj</w:t>
      </w:r>
    </w:p>
    <w:p w14:paraId="16C7898D" w14:textId="77777777" w:rsidR="00AC1253" w:rsidRDefault="00AC1253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5F39615B" w14:textId="19E430CB" w:rsidR="003B42E7" w:rsidRPr="003B42E7" w:rsidRDefault="003B42E7" w:rsidP="003B42E7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B42E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Gjon Culaj is a</w:t>
      </w:r>
      <w:r w:rsidRPr="003B42E7">
        <w:rPr>
          <w:kern w:val="2"/>
          <w:lang w:val="en-150"/>
          <w14:ligatures w14:val="standardContextual"/>
        </w:rPr>
        <w:t xml:space="preserve"> </w:t>
      </w:r>
      <w:r w:rsidRPr="003B42E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lecturer in political science and security studies programs at the University for Business and Technology (UBT) in Kosovo </w:t>
      </w:r>
      <w:r w:rsidRPr="003B42E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and has</w:t>
      </w:r>
      <w:r w:rsidRPr="003B42E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more than ten </w:t>
      </w:r>
      <w:r w:rsidRPr="003B42E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years’ experience</w:t>
      </w:r>
      <w:r w:rsidRPr="003B42E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in teaching, consulting and research in the field of Political Science and Security Studies. </w:t>
      </w:r>
      <w:r w:rsidRPr="003B42E7">
        <w:rPr>
          <w:rFonts w:ascii="Times New Roman" w:hAnsi="Times New Roman" w:cs="Times New Roman"/>
          <w:color w:val="555555"/>
          <w:kern w:val="2"/>
          <w:sz w:val="24"/>
          <w:szCs w:val="24"/>
          <w:shd w:val="clear" w:color="auto" w:fill="FFFFFF"/>
          <w:lang w:val="en-150"/>
          <w14:ligatures w14:val="standardContextual"/>
        </w:rPr>
        <w:t xml:space="preserve">He earned his PhD in Political Science from the University Paris 2 in France and also holds a Master Degree in Political Science - Strategic Studies from the University of Paris 13. His research interests focus on International Relations, </w:t>
      </w:r>
      <w:r w:rsidRPr="003B42E7">
        <w:rPr>
          <w:rFonts w:ascii="Times New Roman" w:hAnsi="Times New Roman" w:cs="Times New Roman"/>
          <w:color w:val="555555"/>
          <w:kern w:val="2"/>
          <w:sz w:val="24"/>
          <w:szCs w:val="24"/>
          <w:shd w:val="clear" w:color="auto" w:fill="FFFFFF"/>
          <w14:ligatures w14:val="standardContextual"/>
        </w:rPr>
        <w:t xml:space="preserve">Human Security, </w:t>
      </w:r>
      <w:r w:rsidRPr="003B42E7">
        <w:rPr>
          <w:rFonts w:ascii="Times New Roman" w:hAnsi="Times New Roman" w:cs="Times New Roman"/>
          <w:color w:val="555555"/>
          <w:kern w:val="2"/>
          <w:sz w:val="24"/>
          <w:szCs w:val="24"/>
          <w:shd w:val="clear" w:color="auto" w:fill="FFFFFF"/>
          <w:lang w:val="en-150"/>
          <w14:ligatures w14:val="standardContextual"/>
        </w:rPr>
        <w:t xml:space="preserve">EU Foreign and Security Policy as well as National and International Security. He is author and co-author of book chapters and </w:t>
      </w:r>
      <w:r w:rsidRPr="003B42E7">
        <w:rPr>
          <w:rFonts w:ascii="Times New Roman" w:hAnsi="Times New Roman" w:cs="Times New Roman"/>
          <w:color w:val="555555"/>
          <w:kern w:val="2"/>
          <w:sz w:val="24"/>
          <w:szCs w:val="24"/>
          <w:shd w:val="clear" w:color="auto" w:fill="FFFFFF"/>
          <w14:ligatures w14:val="standardContextual"/>
        </w:rPr>
        <w:t xml:space="preserve">research </w:t>
      </w:r>
      <w:r w:rsidRPr="003B42E7">
        <w:rPr>
          <w:rFonts w:ascii="Times New Roman" w:hAnsi="Times New Roman" w:cs="Times New Roman"/>
          <w:color w:val="555555"/>
          <w:kern w:val="2"/>
          <w:sz w:val="24"/>
          <w:szCs w:val="24"/>
          <w:shd w:val="clear" w:color="auto" w:fill="FFFFFF"/>
          <w:lang w:val="en-150"/>
          <w14:ligatures w14:val="standardContextual"/>
        </w:rPr>
        <w:t>papers in international peer-reviewed journals.</w:t>
      </w:r>
      <w:r w:rsidRPr="003B42E7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val="fi-FI"/>
          <w14:ligatures w14:val="standardContextual"/>
        </w:rPr>
        <w:t xml:space="preserve"> He has also served as a political advisor at the Ministry of Defence, Republic of Kosovo.</w:t>
      </w:r>
      <w:r w:rsidRPr="003B42E7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val="en-150"/>
          <w14:ligatures w14:val="standardContextual"/>
        </w:rPr>
        <w:t> </w:t>
      </w:r>
    </w:p>
    <w:p w14:paraId="7A150A5A" w14:textId="580E7689" w:rsidR="00AB4FE1" w:rsidRPr="00ED2333" w:rsidRDefault="00AB4FE1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03AB262E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36EB4A0" w14:textId="7ED6AC28" w:rsidR="00171EEB" w:rsidRPr="00171EEB" w:rsidRDefault="001271E8" w:rsidP="001271E8">
      <w:pPr>
        <w:spacing w:after="0" w:line="240" w:lineRule="auto"/>
        <w:rPr>
          <w:rStyle w:val="Hyperlink"/>
          <w:rFonts w:ascii="New Times Roman" w:hAnsi="New Times Roman" w:cs="Times New Roman"/>
          <w:color w:val="auto"/>
          <w:sz w:val="24"/>
          <w:szCs w:val="24"/>
          <w:u w:val="none"/>
        </w:rPr>
      </w:pPr>
      <w:r>
        <w:rPr>
          <w:rFonts w:ascii="New Times Roman" w:hAnsi="New Times Roman" w:cs="Times New Roman"/>
          <w:sz w:val="24"/>
          <w:szCs w:val="24"/>
        </w:rPr>
        <w:t xml:space="preserve">ORCID: </w:t>
      </w:r>
      <w:hyperlink r:id="rId6" w:history="1">
        <w:r w:rsidR="00171EEB" w:rsidRPr="00FD2EDC">
          <w:rPr>
            <w:rStyle w:val="Hyperlink"/>
            <w:rFonts w:ascii="New Times Roman" w:hAnsi="New Times Roman" w:cs="Times New Roman"/>
            <w:sz w:val="24"/>
            <w:szCs w:val="24"/>
          </w:rPr>
          <w:t>https://orcid.org/0000-0003-4655-1943</w:t>
        </w:r>
      </w:hyperlink>
    </w:p>
    <w:p w14:paraId="0D6F3DB5" w14:textId="265EAF68" w:rsidR="001271E8" w:rsidRDefault="001271E8" w:rsidP="001271E8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 w:rsidRPr="00FF7221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RESEAR</w:t>
      </w:r>
      <w:r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 xml:space="preserve">CH </w:t>
      </w:r>
      <w:r w:rsidRPr="00FF7221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GATE</w:t>
      </w:r>
      <w:r>
        <w:rPr>
          <w:rStyle w:val="Hyperlink"/>
          <w:rFonts w:ascii="New Times Roman" w:hAnsi="New Times Roman"/>
          <w:sz w:val="24"/>
          <w:szCs w:val="24"/>
        </w:rPr>
        <w:t xml:space="preserve">:  </w:t>
      </w:r>
      <w:hyperlink r:id="rId7" w:history="1">
        <w:r w:rsidR="00171EEB" w:rsidRPr="00FD2EDC">
          <w:rPr>
            <w:rStyle w:val="Hyperlink"/>
            <w:rFonts w:ascii="New Times Roman" w:hAnsi="New Times Roman"/>
            <w:sz w:val="24"/>
            <w:szCs w:val="24"/>
          </w:rPr>
          <w:t>https://www.researchgate.net/profile/Gjon-Culaj</w:t>
        </w:r>
      </w:hyperlink>
    </w:p>
    <w:p w14:paraId="615E5C7E" w14:textId="77777777" w:rsidR="00171EEB" w:rsidRDefault="00171EEB" w:rsidP="001271E8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</w:p>
    <w:p w14:paraId="7F9EFA5A" w14:textId="58328804" w:rsidR="001271E8" w:rsidRDefault="001271E8" w:rsidP="001271E8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Email: </w:t>
      </w:r>
      <w:r w:rsidR="00056C41">
        <w:rPr>
          <w:rFonts w:ascii="New Times Roman" w:hAnsi="New Times Roman"/>
          <w:sz w:val="24"/>
          <w:szCs w:val="24"/>
        </w:rPr>
        <w:t>gjon.culaj@ubt-uni.net</w:t>
      </w:r>
    </w:p>
    <w:p w14:paraId="0A6931F6" w14:textId="77777777" w:rsidR="00171EEB" w:rsidRDefault="00171EEB" w:rsidP="00127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75857" w14:textId="0E5267EA" w:rsidR="001271E8" w:rsidRPr="009C2A4D" w:rsidRDefault="001271E8" w:rsidP="00127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University for Business and Technology</w:t>
      </w:r>
      <w:r w:rsidR="00171EEB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 xml:space="preserve"> (UBT)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Rexhep Krasniqi Nr. 56, 10.000 Prishtina, Kosovo</w:t>
      </w:r>
      <w:r w:rsidR="00171EEB">
        <w:rPr>
          <w:rFonts w:ascii="Times New Roman" w:hAnsi="Times New Roman" w:cs="Times New Roman"/>
          <w:sz w:val="24"/>
          <w:szCs w:val="24"/>
        </w:rPr>
        <w:t>.</w:t>
      </w:r>
    </w:p>
    <w:p w14:paraId="72841656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5059D7EE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2E455D" w14:paraId="005A3874" w14:textId="77777777" w:rsidTr="00D37A2B">
        <w:tc>
          <w:tcPr>
            <w:tcW w:w="9181" w:type="dxa"/>
            <w:gridSpan w:val="3"/>
          </w:tcPr>
          <w:p w14:paraId="125274DF" w14:textId="7A27E849" w:rsidR="002E455D" w:rsidRPr="002E455D" w:rsidRDefault="002E455D" w:rsidP="00D37A2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SCIENTIFIC PUBLICATIONS</w:t>
            </w:r>
          </w:p>
        </w:tc>
      </w:tr>
      <w:tr w:rsidR="002E455D" w14:paraId="13309CAD" w14:textId="77777777" w:rsidTr="00D37A2B">
        <w:tc>
          <w:tcPr>
            <w:tcW w:w="9181" w:type="dxa"/>
            <w:gridSpan w:val="3"/>
          </w:tcPr>
          <w:p w14:paraId="2034586A" w14:textId="77777777" w:rsidR="002E455D" w:rsidRPr="002E455D" w:rsidRDefault="002E455D" w:rsidP="00D37A2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Scientific Journals</w:t>
            </w:r>
          </w:p>
        </w:tc>
      </w:tr>
      <w:tr w:rsidR="002E455D" w14:paraId="3DF9A8B0" w14:textId="77777777" w:rsidTr="00D37A2B">
        <w:tc>
          <w:tcPr>
            <w:tcW w:w="3355" w:type="dxa"/>
          </w:tcPr>
          <w:p w14:paraId="4AF74342" w14:textId="77777777" w:rsidR="002E455D" w:rsidRPr="002E455D" w:rsidRDefault="002E455D" w:rsidP="00D37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Title of work</w:t>
            </w:r>
          </w:p>
        </w:tc>
        <w:tc>
          <w:tcPr>
            <w:tcW w:w="3165" w:type="dxa"/>
          </w:tcPr>
          <w:p w14:paraId="0ADC0D7A" w14:textId="77777777" w:rsidR="002E455D" w:rsidRPr="002E455D" w:rsidRDefault="002E455D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Journal’s name</w:t>
            </w:r>
          </w:p>
        </w:tc>
        <w:tc>
          <w:tcPr>
            <w:tcW w:w="2661" w:type="dxa"/>
          </w:tcPr>
          <w:p w14:paraId="36FDB446" w14:textId="77777777" w:rsidR="002E455D" w:rsidRPr="002E455D" w:rsidRDefault="002E455D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Year / Volume / pages</w:t>
            </w:r>
          </w:p>
        </w:tc>
      </w:tr>
      <w:tr w:rsidR="002E455D" w14:paraId="2C1D3BAE" w14:textId="77777777" w:rsidTr="00D37A2B">
        <w:tc>
          <w:tcPr>
            <w:tcW w:w="3355" w:type="dxa"/>
          </w:tcPr>
          <w:p w14:paraId="1B6EF22B" w14:textId="3F52A6C2" w:rsidR="002E455D" w:rsidRPr="00A62F96" w:rsidRDefault="00B3050B" w:rsidP="00AC1253">
            <w:pPr>
              <w:pStyle w:val="Heading1"/>
              <w:shd w:val="clear" w:color="auto" w:fill="FFFFFF"/>
              <w:rPr>
                <w:b w:val="0"/>
                <w:bCs/>
                <w:i/>
                <w:szCs w:val="24"/>
              </w:rPr>
            </w:pPr>
            <w:r w:rsidRPr="00A62F96">
              <w:rPr>
                <w:b w:val="0"/>
                <w:bCs/>
                <w:i/>
                <w:szCs w:val="24"/>
              </w:rPr>
              <w:t xml:space="preserve">“Open </w:t>
            </w:r>
            <w:proofErr w:type="spellStart"/>
            <w:r w:rsidRPr="00A62F96">
              <w:rPr>
                <w:b w:val="0"/>
                <w:bCs/>
                <w:i/>
                <w:szCs w:val="24"/>
              </w:rPr>
              <w:t>Balkan</w:t>
            </w:r>
            <w:proofErr w:type="spellEnd"/>
            <w:r w:rsidRPr="00A62F96">
              <w:rPr>
                <w:b w:val="0"/>
                <w:bCs/>
                <w:i/>
                <w:szCs w:val="24"/>
              </w:rPr>
              <w:t xml:space="preserve"> </w:t>
            </w:r>
            <w:proofErr w:type="spellStart"/>
            <w:r w:rsidRPr="00A62F96">
              <w:rPr>
                <w:b w:val="0"/>
                <w:bCs/>
                <w:i/>
                <w:szCs w:val="24"/>
              </w:rPr>
              <w:t>Initiative</w:t>
            </w:r>
            <w:proofErr w:type="spellEnd"/>
            <w:r w:rsidRPr="00A62F96">
              <w:rPr>
                <w:b w:val="0"/>
                <w:bCs/>
                <w:i/>
                <w:szCs w:val="24"/>
              </w:rPr>
              <w:t xml:space="preserve">: A </w:t>
            </w:r>
            <w:proofErr w:type="spellStart"/>
            <w:r w:rsidRPr="00A62F96">
              <w:rPr>
                <w:b w:val="0"/>
                <w:bCs/>
                <w:i/>
                <w:szCs w:val="24"/>
              </w:rPr>
              <w:t>contested</w:t>
            </w:r>
            <w:proofErr w:type="spellEnd"/>
            <w:r w:rsidRPr="00A62F96">
              <w:rPr>
                <w:b w:val="0"/>
                <w:bCs/>
                <w:i/>
                <w:szCs w:val="24"/>
              </w:rPr>
              <w:t xml:space="preserve"> </w:t>
            </w:r>
            <w:proofErr w:type="spellStart"/>
            <w:r w:rsidRPr="00A62F96">
              <w:rPr>
                <w:b w:val="0"/>
                <w:bCs/>
                <w:i/>
                <w:szCs w:val="24"/>
              </w:rPr>
              <w:t>issue</w:t>
            </w:r>
            <w:proofErr w:type="spellEnd"/>
            <w:r w:rsidRPr="00A62F96">
              <w:rPr>
                <w:b w:val="0"/>
                <w:bCs/>
                <w:i/>
                <w:szCs w:val="24"/>
              </w:rPr>
              <w:t xml:space="preserve"> in </w:t>
            </w:r>
            <w:proofErr w:type="spellStart"/>
            <w:r w:rsidRPr="00A62F96">
              <w:rPr>
                <w:b w:val="0"/>
                <w:bCs/>
                <w:i/>
                <w:szCs w:val="24"/>
              </w:rPr>
              <w:t>the</w:t>
            </w:r>
            <w:proofErr w:type="spellEnd"/>
            <w:r w:rsidRPr="00A62F96">
              <w:rPr>
                <w:b w:val="0"/>
                <w:bCs/>
                <w:i/>
                <w:szCs w:val="24"/>
              </w:rPr>
              <w:t xml:space="preserve"> EU </w:t>
            </w:r>
            <w:proofErr w:type="spellStart"/>
            <w:r w:rsidRPr="00A62F96">
              <w:rPr>
                <w:b w:val="0"/>
                <w:bCs/>
                <w:i/>
                <w:szCs w:val="24"/>
              </w:rPr>
              <w:t>membership</w:t>
            </w:r>
            <w:proofErr w:type="spellEnd"/>
            <w:r w:rsidRPr="00A62F96">
              <w:rPr>
                <w:b w:val="0"/>
                <w:bCs/>
                <w:i/>
                <w:szCs w:val="24"/>
              </w:rPr>
              <w:t xml:space="preserve"> </w:t>
            </w:r>
            <w:proofErr w:type="spellStart"/>
            <w:r w:rsidRPr="00A62F96">
              <w:rPr>
                <w:b w:val="0"/>
                <w:bCs/>
                <w:i/>
                <w:szCs w:val="24"/>
              </w:rPr>
              <w:t>perspective</w:t>
            </w:r>
            <w:proofErr w:type="spellEnd"/>
            <w:r w:rsidRPr="00A62F96">
              <w:rPr>
                <w:b w:val="0"/>
                <w:bCs/>
                <w:i/>
                <w:szCs w:val="24"/>
              </w:rPr>
              <w:t>”</w:t>
            </w:r>
          </w:p>
        </w:tc>
        <w:tc>
          <w:tcPr>
            <w:tcW w:w="3165" w:type="dxa"/>
          </w:tcPr>
          <w:p w14:paraId="0A4D19AA" w14:textId="3E1AA55C" w:rsidR="002E455D" w:rsidRPr="00A62F96" w:rsidRDefault="00B3050B" w:rsidP="00D37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96">
              <w:rPr>
                <w:rFonts w:ascii="Times New Roman" w:hAnsi="Times New Roman" w:cs="Times New Roman"/>
                <w:bCs/>
                <w:sz w:val="24"/>
                <w:szCs w:val="24"/>
              </w:rPr>
              <w:t>Journal of Liberty and International Affairs</w:t>
            </w:r>
          </w:p>
        </w:tc>
        <w:tc>
          <w:tcPr>
            <w:tcW w:w="2661" w:type="dxa"/>
          </w:tcPr>
          <w:p w14:paraId="4DEA2F16" w14:textId="6136225A" w:rsidR="002E455D" w:rsidRPr="002E455D" w:rsidRDefault="00B3050B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0B">
              <w:rPr>
                <w:rFonts w:ascii="Times New Roman" w:hAnsi="Times New Roman" w:cs="Times New Roman"/>
                <w:sz w:val="24"/>
                <w:szCs w:val="24"/>
              </w:rPr>
              <w:t>Volume 9, Number 1, 2023, pages 312-324</w:t>
            </w:r>
            <w:r w:rsidR="00A62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455D" w:rsidRPr="00775CAC" w14:paraId="32A06488" w14:textId="77777777" w:rsidTr="00D37A2B">
        <w:tc>
          <w:tcPr>
            <w:tcW w:w="3355" w:type="dxa"/>
          </w:tcPr>
          <w:p w14:paraId="7A1A24F4" w14:textId="2D9FFEEF" w:rsidR="002E455D" w:rsidRPr="002E455D" w:rsidRDefault="00A62F96" w:rsidP="00AC1253">
            <w:pPr>
              <w:pStyle w:val="NormalWeb"/>
              <w:jc w:val="both"/>
              <w:rPr>
                <w:i/>
              </w:rPr>
            </w:pPr>
            <w:r>
              <w:rPr>
                <w:i/>
              </w:rPr>
              <w:t>``</w:t>
            </w:r>
            <w:r>
              <w:t xml:space="preserve"> </w:t>
            </w:r>
            <w:r w:rsidRPr="00A62F96">
              <w:rPr>
                <w:i/>
              </w:rPr>
              <w:t>The Elgar Companion to Post-Conflict Transition:Kosovo</w:t>
            </w:r>
            <w:r>
              <w:rPr>
                <w:i/>
              </w:rPr>
              <w:t>``</w:t>
            </w:r>
          </w:p>
        </w:tc>
        <w:tc>
          <w:tcPr>
            <w:tcW w:w="3165" w:type="dxa"/>
          </w:tcPr>
          <w:p w14:paraId="5F103F8F" w14:textId="56507424" w:rsidR="002E455D" w:rsidRPr="002E455D" w:rsidRDefault="00A62F96" w:rsidP="00AC1253">
            <w:pPr>
              <w:pStyle w:val="NormalWeb"/>
            </w:pPr>
            <w:r w:rsidRPr="00A62F96">
              <w:t>Edward Elgar Publishing</w:t>
            </w:r>
          </w:p>
        </w:tc>
        <w:tc>
          <w:tcPr>
            <w:tcW w:w="2661" w:type="dxa"/>
          </w:tcPr>
          <w:p w14:paraId="322AE503" w14:textId="6D834D37" w:rsidR="002E455D" w:rsidRPr="002E455D" w:rsidRDefault="00A62F96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 163 – 182, 2018.</w:t>
            </w:r>
          </w:p>
        </w:tc>
      </w:tr>
      <w:tr w:rsidR="002E455D" w:rsidRPr="00842843" w14:paraId="1BFC4021" w14:textId="77777777" w:rsidTr="00D37A2B">
        <w:tc>
          <w:tcPr>
            <w:tcW w:w="3355" w:type="dxa"/>
          </w:tcPr>
          <w:p w14:paraId="2623E9CF" w14:textId="77777777" w:rsidR="002E455D" w:rsidRPr="002E455D" w:rsidRDefault="002E455D" w:rsidP="00AC1253">
            <w:pPr>
              <w:pStyle w:val="NormalWeb"/>
              <w:jc w:val="both"/>
              <w:rPr>
                <w:i/>
              </w:rPr>
            </w:pPr>
          </w:p>
        </w:tc>
        <w:tc>
          <w:tcPr>
            <w:tcW w:w="3165" w:type="dxa"/>
          </w:tcPr>
          <w:p w14:paraId="45C8ADEA" w14:textId="7A595488" w:rsidR="002E455D" w:rsidRPr="002E455D" w:rsidRDefault="002E455D" w:rsidP="00AC1253">
            <w:pPr>
              <w:pStyle w:val="NormalWeb"/>
            </w:pPr>
            <w:r w:rsidRPr="002E455D">
              <w:rPr>
                <w:color w:val="000000"/>
              </w:rPr>
              <w:t xml:space="preserve"> </w:t>
            </w:r>
          </w:p>
        </w:tc>
        <w:tc>
          <w:tcPr>
            <w:tcW w:w="2661" w:type="dxa"/>
          </w:tcPr>
          <w:p w14:paraId="3EC4B90F" w14:textId="500CE010" w:rsidR="002E455D" w:rsidRPr="002E455D" w:rsidRDefault="002E455D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5D" w14:paraId="2422FBFE" w14:textId="77777777" w:rsidTr="00D37A2B">
        <w:tc>
          <w:tcPr>
            <w:tcW w:w="9181" w:type="dxa"/>
            <w:gridSpan w:val="3"/>
          </w:tcPr>
          <w:p w14:paraId="4D17C665" w14:textId="77777777" w:rsidR="002E455D" w:rsidRPr="002E455D" w:rsidRDefault="002E455D" w:rsidP="00D37A2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Summary (abstracts) from Scientific international and national conferences </w:t>
            </w:r>
          </w:p>
        </w:tc>
      </w:tr>
      <w:tr w:rsidR="002E455D" w14:paraId="0A9C4486" w14:textId="77777777" w:rsidTr="00D37A2B">
        <w:tc>
          <w:tcPr>
            <w:tcW w:w="3355" w:type="dxa"/>
          </w:tcPr>
          <w:p w14:paraId="6D29F6F1" w14:textId="77777777" w:rsidR="002E455D" w:rsidRPr="002E455D" w:rsidRDefault="002E455D" w:rsidP="00D37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Title of work</w:t>
            </w:r>
          </w:p>
        </w:tc>
        <w:tc>
          <w:tcPr>
            <w:tcW w:w="3165" w:type="dxa"/>
          </w:tcPr>
          <w:p w14:paraId="7DF37A2D" w14:textId="77777777" w:rsidR="002E455D" w:rsidRPr="002E455D" w:rsidRDefault="002E455D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Journal’s name</w:t>
            </w:r>
          </w:p>
        </w:tc>
        <w:tc>
          <w:tcPr>
            <w:tcW w:w="2661" w:type="dxa"/>
          </w:tcPr>
          <w:p w14:paraId="00A30FA8" w14:textId="77777777" w:rsidR="002E455D" w:rsidRPr="002E455D" w:rsidRDefault="002E455D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Year / Volume / pages</w:t>
            </w:r>
          </w:p>
        </w:tc>
      </w:tr>
      <w:tr w:rsidR="00617FF8" w14:paraId="1609B316" w14:textId="77777777" w:rsidTr="00D37A2B">
        <w:tc>
          <w:tcPr>
            <w:tcW w:w="3355" w:type="dxa"/>
          </w:tcPr>
          <w:p w14:paraId="050401DB" w14:textId="6A6D3AEE" w:rsidR="00617FF8" w:rsidRPr="002E455D" w:rsidRDefault="00617FF8" w:rsidP="00171E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FF8">
              <w:rPr>
                <w:rFonts w:ascii="Times New Roman" w:hAnsi="Times New Roman" w:cs="Times New Roman"/>
                <w:i/>
                <w:sz w:val="24"/>
                <w:szCs w:val="24"/>
              </w:rPr>
              <w:t>“EU Foreign and Security Policy: contestations and challenges”</w:t>
            </w:r>
          </w:p>
        </w:tc>
        <w:tc>
          <w:tcPr>
            <w:tcW w:w="3165" w:type="dxa"/>
          </w:tcPr>
          <w:p w14:paraId="05C7E350" w14:textId="71492B47" w:rsidR="00617FF8" w:rsidRPr="00617FF8" w:rsidRDefault="00617FF8" w:rsidP="00617F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FF8">
              <w:rPr>
                <w:rFonts w:ascii="Times New Roman" w:hAnsi="Times New Roman" w:cs="Times New Roman"/>
                <w:iCs/>
                <w:sz w:val="24"/>
                <w:szCs w:val="24"/>
              </w:rPr>
              <w:t>UBT International Scientific Conference, IC-Political Sciences and Security Studies</w:t>
            </w:r>
          </w:p>
        </w:tc>
        <w:tc>
          <w:tcPr>
            <w:tcW w:w="2661" w:type="dxa"/>
          </w:tcPr>
          <w:p w14:paraId="606822BE" w14:textId="2221E25C" w:rsidR="00617FF8" w:rsidRPr="00171EEB" w:rsidRDefault="00617FF8" w:rsidP="00171E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iCs/>
                <w:sz w:val="24"/>
                <w:szCs w:val="24"/>
              </w:rPr>
              <w:t>UBT Knowledge Center, 202</w:t>
            </w:r>
            <w:r w:rsidRPr="00171EE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E455D" w14:paraId="6C211E41" w14:textId="77777777" w:rsidTr="00D37A2B">
        <w:tc>
          <w:tcPr>
            <w:tcW w:w="3355" w:type="dxa"/>
          </w:tcPr>
          <w:p w14:paraId="27FD8DC4" w14:textId="2F28DE7A" w:rsidR="002E455D" w:rsidRPr="00617FF8" w:rsidRDefault="00617FF8" w:rsidP="00AC1253">
            <w:pPr>
              <w:pStyle w:val="Quote"/>
              <w:jc w:val="both"/>
              <w:rPr>
                <w:bCs/>
                <w:iCs w:val="0"/>
                <w:color w:val="auto"/>
              </w:rPr>
            </w:pPr>
            <w:r w:rsidRPr="00617FF8">
              <w:rPr>
                <w:bCs/>
                <w:iCs w:val="0"/>
                <w:color w:val="auto"/>
              </w:rPr>
              <w:t>``</w:t>
            </w:r>
            <w:r w:rsidRPr="00617FF8">
              <w:rPr>
                <w:bCs/>
                <w:iCs w:val="0"/>
                <w:color w:val="auto"/>
              </w:rPr>
              <w:t xml:space="preserve">Human Security: </w:t>
            </w:r>
            <w:proofErr w:type="spellStart"/>
            <w:r w:rsidRPr="00617FF8">
              <w:rPr>
                <w:bCs/>
                <w:iCs w:val="0"/>
                <w:color w:val="auto"/>
              </w:rPr>
              <w:t>Protecting</w:t>
            </w:r>
            <w:proofErr w:type="spellEnd"/>
            <w:r w:rsidRPr="00617FF8">
              <w:rPr>
                <w:bCs/>
                <w:iCs w:val="0"/>
                <w:color w:val="auto"/>
              </w:rPr>
              <w:t xml:space="preserve"> fundamental </w:t>
            </w:r>
            <w:proofErr w:type="spellStart"/>
            <w:r w:rsidRPr="00617FF8">
              <w:rPr>
                <w:bCs/>
                <w:iCs w:val="0"/>
                <w:color w:val="auto"/>
              </w:rPr>
              <w:t>freedoms</w:t>
            </w:r>
            <w:proofErr w:type="spellEnd"/>
            <w:r w:rsidRPr="00617FF8">
              <w:rPr>
                <w:bCs/>
                <w:iCs w:val="0"/>
                <w:color w:val="auto"/>
              </w:rPr>
              <w:t>``</w:t>
            </w:r>
          </w:p>
        </w:tc>
        <w:tc>
          <w:tcPr>
            <w:tcW w:w="3165" w:type="dxa"/>
          </w:tcPr>
          <w:p w14:paraId="45346950" w14:textId="01E95191" w:rsidR="002E455D" w:rsidRPr="002E455D" w:rsidRDefault="00A62F96" w:rsidP="00D37A2B">
            <w:pPr>
              <w:pStyle w:val="Heading1"/>
              <w:shd w:val="clear" w:color="auto" w:fill="FFFFFF"/>
              <w:jc w:val="both"/>
              <w:rPr>
                <w:b w:val="0"/>
                <w:szCs w:val="24"/>
              </w:rPr>
            </w:pPr>
            <w:r w:rsidRPr="00A62F96">
              <w:rPr>
                <w:b w:val="0"/>
                <w:szCs w:val="24"/>
              </w:rPr>
              <w:t xml:space="preserve">UBT International </w:t>
            </w:r>
            <w:proofErr w:type="spellStart"/>
            <w:r w:rsidRPr="00A62F96">
              <w:rPr>
                <w:b w:val="0"/>
                <w:szCs w:val="24"/>
              </w:rPr>
              <w:t>Conference</w:t>
            </w:r>
            <w:proofErr w:type="spellEnd"/>
            <w:r w:rsidRPr="00A62F96">
              <w:rPr>
                <w:b w:val="0"/>
                <w:szCs w:val="24"/>
              </w:rPr>
              <w:t xml:space="preserve"> </w:t>
            </w:r>
            <w:proofErr w:type="spellStart"/>
            <w:r w:rsidRPr="00A62F96">
              <w:rPr>
                <w:b w:val="0"/>
                <w:szCs w:val="24"/>
              </w:rPr>
              <w:t>on</w:t>
            </w:r>
            <w:proofErr w:type="spellEnd"/>
            <w:r w:rsidRPr="00A62F96">
              <w:rPr>
                <w:b w:val="0"/>
                <w:szCs w:val="24"/>
              </w:rPr>
              <w:t xml:space="preserve"> </w:t>
            </w:r>
            <w:r w:rsidR="00617FF8">
              <w:rPr>
                <w:b w:val="0"/>
                <w:szCs w:val="24"/>
              </w:rPr>
              <w:t xml:space="preserve">Security </w:t>
            </w:r>
            <w:proofErr w:type="spellStart"/>
            <w:r w:rsidR="00617FF8">
              <w:rPr>
                <w:b w:val="0"/>
                <w:szCs w:val="24"/>
              </w:rPr>
              <w:t>Studies</w:t>
            </w:r>
            <w:proofErr w:type="spellEnd"/>
            <w:r w:rsidRPr="00A62F96">
              <w:rPr>
                <w:b w:val="0"/>
                <w:szCs w:val="24"/>
              </w:rPr>
              <w:t xml:space="preserve"> </w:t>
            </w:r>
          </w:p>
        </w:tc>
        <w:tc>
          <w:tcPr>
            <w:tcW w:w="2661" w:type="dxa"/>
          </w:tcPr>
          <w:p w14:paraId="025E0637" w14:textId="778658ED" w:rsidR="002E455D" w:rsidRPr="002E455D" w:rsidRDefault="00617FF8" w:rsidP="00D37A2B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UBT Knowledge Center, 2022</w:t>
            </w:r>
          </w:p>
        </w:tc>
      </w:tr>
      <w:tr w:rsidR="002E455D" w14:paraId="53125045" w14:textId="77777777" w:rsidTr="00D37A2B">
        <w:tc>
          <w:tcPr>
            <w:tcW w:w="3355" w:type="dxa"/>
          </w:tcPr>
          <w:p w14:paraId="4D929F3F" w14:textId="18509E3B" w:rsidR="002E455D" w:rsidRPr="002E455D" w:rsidRDefault="00617FF8" w:rsidP="00D37A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``</w:t>
            </w:r>
            <w:r>
              <w:t xml:space="preserve"> </w:t>
            </w:r>
            <w:r w:rsidRPr="00617FF8">
              <w:rPr>
                <w:rFonts w:ascii="Times New Roman" w:hAnsi="Times New Roman" w:cs="Times New Roman"/>
                <w:i/>
                <w:sz w:val="24"/>
                <w:szCs w:val="24"/>
              </w:rPr>
              <w:t>EU security response to the Syrian conflict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``</w:t>
            </w:r>
          </w:p>
        </w:tc>
        <w:tc>
          <w:tcPr>
            <w:tcW w:w="3165" w:type="dxa"/>
          </w:tcPr>
          <w:p w14:paraId="0CF41991" w14:textId="42250D89" w:rsidR="002E455D" w:rsidRPr="002E455D" w:rsidRDefault="00171EEB" w:rsidP="00D3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UBT International Conference on Security Studies</w:t>
            </w:r>
          </w:p>
        </w:tc>
        <w:tc>
          <w:tcPr>
            <w:tcW w:w="2661" w:type="dxa"/>
          </w:tcPr>
          <w:p w14:paraId="1ED100A4" w14:textId="7D5A3C30" w:rsidR="002E455D" w:rsidRPr="002E455D" w:rsidRDefault="00171EEB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UBT Knowledge Center,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55D" w14:paraId="34DE78FB" w14:textId="77777777" w:rsidTr="00D37A2B">
        <w:tc>
          <w:tcPr>
            <w:tcW w:w="3355" w:type="dxa"/>
          </w:tcPr>
          <w:p w14:paraId="009E45DB" w14:textId="07297B55" w:rsidR="002E455D" w:rsidRPr="002E455D" w:rsidRDefault="00171EEB" w:rsidP="00D37A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``</w:t>
            </w:r>
            <w:r>
              <w:t xml:space="preserve"> </w:t>
            </w:r>
            <w:r w:rsidRPr="00171EEB">
              <w:rPr>
                <w:rFonts w:ascii="Times New Roman" w:hAnsi="Times New Roman" w:cs="Times New Roman"/>
                <w:i/>
                <w:sz w:val="24"/>
                <w:szCs w:val="24"/>
              </w:rPr>
              <w:t>Human Security: Relevance and Perspective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``</w:t>
            </w:r>
          </w:p>
        </w:tc>
        <w:tc>
          <w:tcPr>
            <w:tcW w:w="3165" w:type="dxa"/>
          </w:tcPr>
          <w:p w14:paraId="52EA8D6B" w14:textId="3551CC92" w:rsidR="002E455D" w:rsidRPr="002E455D" w:rsidRDefault="00171EEB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UBT International Conference on Security Studies</w:t>
            </w:r>
          </w:p>
        </w:tc>
        <w:tc>
          <w:tcPr>
            <w:tcW w:w="2661" w:type="dxa"/>
          </w:tcPr>
          <w:p w14:paraId="0B4017D2" w14:textId="7F204895" w:rsidR="002E455D" w:rsidRPr="002E455D" w:rsidRDefault="00171EEB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UBT Knowledge Center,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F96" w14:paraId="672AF4F3" w14:textId="77777777" w:rsidTr="00D37A2B">
        <w:tc>
          <w:tcPr>
            <w:tcW w:w="3355" w:type="dxa"/>
          </w:tcPr>
          <w:p w14:paraId="087C5D73" w14:textId="77777777" w:rsidR="00A62F96" w:rsidRPr="002E455D" w:rsidRDefault="00A62F96" w:rsidP="00D37A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14:paraId="2619ABE4" w14:textId="77777777" w:rsidR="00A62F96" w:rsidRPr="002E455D" w:rsidRDefault="00A62F96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41E41CA0" w14:textId="77777777" w:rsidR="00A62F96" w:rsidRPr="002E455D" w:rsidRDefault="00A62F96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BD9483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00F73146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2629E914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30DF62E8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04E23DEE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766E94E8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0B538EBE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F97D409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EAE1BE9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8718DCB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5759578C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6FE0FBD3" w14:textId="39A8259F" w:rsidR="00847E8B" w:rsidRDefault="00847E8B"/>
    <w:sectPr w:rsidR="0084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992142">
    <w:abstractNumId w:val="1"/>
  </w:num>
  <w:num w:numId="2" w16cid:durableId="134069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307C5"/>
    <w:rsid w:val="00056C41"/>
    <w:rsid w:val="00121E85"/>
    <w:rsid w:val="001271E8"/>
    <w:rsid w:val="00171EEB"/>
    <w:rsid w:val="001D439D"/>
    <w:rsid w:val="001E6F6A"/>
    <w:rsid w:val="00227FCD"/>
    <w:rsid w:val="002E455D"/>
    <w:rsid w:val="0035764F"/>
    <w:rsid w:val="00385639"/>
    <w:rsid w:val="003B42E7"/>
    <w:rsid w:val="003E2E27"/>
    <w:rsid w:val="0046559A"/>
    <w:rsid w:val="004F5B5D"/>
    <w:rsid w:val="005310E5"/>
    <w:rsid w:val="00591A1B"/>
    <w:rsid w:val="00617FF8"/>
    <w:rsid w:val="0063414F"/>
    <w:rsid w:val="006522A1"/>
    <w:rsid w:val="006752E2"/>
    <w:rsid w:val="007D6BDE"/>
    <w:rsid w:val="00847E8B"/>
    <w:rsid w:val="008512D0"/>
    <w:rsid w:val="00857F66"/>
    <w:rsid w:val="00873D6A"/>
    <w:rsid w:val="00883591"/>
    <w:rsid w:val="008C4E28"/>
    <w:rsid w:val="00932552"/>
    <w:rsid w:val="00977F73"/>
    <w:rsid w:val="009C2A4D"/>
    <w:rsid w:val="009D5E9A"/>
    <w:rsid w:val="00A07381"/>
    <w:rsid w:val="00A62F96"/>
    <w:rsid w:val="00AA304B"/>
    <w:rsid w:val="00AB4FE1"/>
    <w:rsid w:val="00AC1253"/>
    <w:rsid w:val="00B05BEE"/>
    <w:rsid w:val="00B3050B"/>
    <w:rsid w:val="00B411D9"/>
    <w:rsid w:val="00C21FDC"/>
    <w:rsid w:val="00C74B37"/>
    <w:rsid w:val="00DA2A31"/>
    <w:rsid w:val="00E5037D"/>
    <w:rsid w:val="00E55067"/>
    <w:rsid w:val="00ED233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60409957p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560409957s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E455D"/>
    <w:rPr>
      <w:rFonts w:ascii="Times New Roman" w:eastAsia="Times New Roman" w:hAnsi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002E455D"/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171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Gjon-Cul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3-4655-19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 Xhixha</dc:creator>
  <cp:keywords/>
  <dc:description/>
  <cp:lastModifiedBy>USER</cp:lastModifiedBy>
  <cp:revision>3</cp:revision>
  <dcterms:created xsi:type="dcterms:W3CDTF">2024-01-29T15:22:00Z</dcterms:created>
  <dcterms:modified xsi:type="dcterms:W3CDTF">2024-01-29T16:35:00Z</dcterms:modified>
</cp:coreProperties>
</file>