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B3B0B" w14:textId="765E1036" w:rsidR="008F628F" w:rsidRDefault="008F628F" w:rsidP="008F628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6F55C9F" wp14:editId="4F1A20B5">
            <wp:extent cx="2479853" cy="1653989"/>
            <wp:effectExtent l="0" t="0" r="0" b="3810"/>
            <wp:docPr id="1" name="Picture 1" descr="St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853" cy="165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1452D" w14:textId="32996F0E" w:rsidR="004A79FA" w:rsidRDefault="008F628F" w:rsidP="008F628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8F">
        <w:rPr>
          <w:rFonts w:ascii="Times New Roman" w:hAnsi="Times New Roman" w:cs="Times New Roman"/>
          <w:sz w:val="24"/>
          <w:szCs w:val="24"/>
        </w:rPr>
        <w:t xml:space="preserve">Dr. Sc.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Elmi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Kelmendi ka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përvojë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pesëmbëdhjetëvjeçare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mësimdhënie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viti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2009)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juridike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-penal,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përvojë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jurist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diplomuar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nëntëmbëdhjetë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vitesh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viti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2005)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institucione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institucione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kompani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private.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Kelmendi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tani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realizuar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ekspertiza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fusha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, e ne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veçanti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hartimin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akteve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juridike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filluar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koncept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dokumente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ligje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udhëzime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administrative, statute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rregullore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Kelmendi ka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seminare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ndërkombëtare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trajnime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ndërkombëtare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pjesëmarrës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konferenca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shkencore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ndërkombëtare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Kelmendi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2022 ka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qenë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mobilitetit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kuadër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ERASMUS+ (KA107 Staff Mobility for Teaching Academic Year 2021/2022),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Bialystok University, Faculty of Law,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Poloni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mbajt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cikël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ligjëratash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fusha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Kriminologjisë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Krimit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organizuar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Drejtës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Ndërkombëtare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pikat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përzgjedhura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Kelmendi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paraqitur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: –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Ekspertë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jashtëm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hartimin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akteve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juridike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projektin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ALLED2 (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bashkëfinancohet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Bashkimi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Evropian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Bashkëpunimi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Austriak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Zhvillim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zbatohet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Agjencia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Austriake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Zhvillim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(ADA)) -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Ofrimi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ekspertizës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zhvillimi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Udhëzimit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(UA)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Formulën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Financimit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Sistemin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e AAP-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Kosovë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Mbështetja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ekspertizë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AKK-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konceptit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dokumentit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politikave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kornizës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SC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AAP;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Dhënia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ekspertizës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AKK-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hartimin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Rregullores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Drejtues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AKK-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Ekspertë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Sigurimin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Cilësisë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Autoriteti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Kombëtar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Kualifikimeve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Ekspert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jashtëm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çështje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Hartimi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rregullores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sistematizimin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Autoritetin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Kombëtar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Kualifikimeve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; –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Ekspert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jashtëm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çështje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DVV International (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lesh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Internationale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Zusammenarbeit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Deutschen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Volkshochschul-Verbandes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hartimin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rregulloreve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aplikimin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e IAAP-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procesin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validimit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kualifikimeve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Kornizën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Kualifikimeve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>;</w:t>
      </w:r>
      <w:r w:rsidR="009B3662">
        <w:rPr>
          <w:rFonts w:ascii="Times New Roman" w:hAnsi="Times New Roman" w:cs="Times New Roman"/>
          <w:sz w:val="24"/>
          <w:szCs w:val="24"/>
        </w:rPr>
        <w:t xml:space="preserve"> </w:t>
      </w:r>
      <w:r w:rsidRPr="008F628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Ekspert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jashtëm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çështje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Qendra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Evropiane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Çështje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Minoriteteve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Kosovë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(ECMI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Kosovë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vlerësimin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konceptdokumentit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28F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Pr="008F628F">
        <w:rPr>
          <w:rFonts w:ascii="Times New Roman" w:hAnsi="Times New Roman" w:cs="Times New Roman"/>
          <w:sz w:val="24"/>
          <w:szCs w:val="24"/>
        </w:rPr>
        <w:t>.</w:t>
      </w:r>
    </w:p>
    <w:p w14:paraId="2ED8D5D6" w14:textId="4F904CE1" w:rsidR="008F628F" w:rsidRPr="009B3662" w:rsidRDefault="008F628F" w:rsidP="009B3662">
      <w:pPr>
        <w:pStyle w:val="NoSpacing"/>
      </w:pPr>
      <w:bookmarkStart w:id="0" w:name="_GoBack"/>
      <w:bookmarkEnd w:id="0"/>
    </w:p>
    <w:p w14:paraId="6DE24148" w14:textId="0277DF90" w:rsidR="008F628F" w:rsidRPr="009B3662" w:rsidRDefault="008F628F" w:rsidP="008F628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662">
        <w:rPr>
          <w:rFonts w:ascii="Times New Roman" w:hAnsi="Times New Roman" w:cs="Times New Roman"/>
          <w:b/>
          <w:sz w:val="24"/>
          <w:szCs w:val="24"/>
        </w:rPr>
        <w:t xml:space="preserve">PUBLIKIMET </w:t>
      </w:r>
    </w:p>
    <w:p w14:paraId="2C419F2F" w14:textId="77777777" w:rsidR="009B3662" w:rsidRPr="009B3662" w:rsidRDefault="009B3662" w:rsidP="009B3662">
      <w:pPr>
        <w:pStyle w:val="NoSpacing"/>
      </w:pPr>
    </w:p>
    <w:tbl>
      <w:tblPr>
        <w:tblW w:w="91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2661"/>
      </w:tblGrid>
      <w:tr w:rsidR="009B3662" w:rsidRPr="009B3662" w14:paraId="4733274E" w14:textId="77777777" w:rsidTr="00C3326F">
        <w:tc>
          <w:tcPr>
            <w:tcW w:w="3355" w:type="dxa"/>
          </w:tcPr>
          <w:p w14:paraId="6E19705C" w14:textId="77777777" w:rsidR="009B3662" w:rsidRPr="009B3662" w:rsidRDefault="009B3662" w:rsidP="009B36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proofErr w:type="spellStart"/>
            <w:r w:rsidRPr="009B3662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Titulli</w:t>
            </w:r>
            <w:proofErr w:type="spellEnd"/>
            <w:r w:rsidRPr="009B3662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</w:t>
            </w:r>
            <w:proofErr w:type="spellStart"/>
            <w:r w:rsidRPr="009B3662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i</w:t>
            </w:r>
            <w:proofErr w:type="spellEnd"/>
            <w:r w:rsidRPr="009B3662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</w:t>
            </w:r>
            <w:proofErr w:type="spellStart"/>
            <w:r w:rsidRPr="009B3662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punimit</w:t>
            </w:r>
            <w:proofErr w:type="spellEnd"/>
          </w:p>
        </w:tc>
        <w:tc>
          <w:tcPr>
            <w:tcW w:w="3165" w:type="dxa"/>
          </w:tcPr>
          <w:p w14:paraId="60F876ED" w14:textId="77777777" w:rsidR="009B3662" w:rsidRPr="009B3662" w:rsidRDefault="009B3662" w:rsidP="009B36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9B3662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Emri</w:t>
            </w:r>
            <w:proofErr w:type="spellEnd"/>
            <w:r w:rsidRPr="009B3662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</w:t>
            </w:r>
            <w:proofErr w:type="spellStart"/>
            <w:r w:rsidRPr="009B3662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i</w:t>
            </w:r>
            <w:proofErr w:type="spellEnd"/>
            <w:r w:rsidRPr="009B3662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</w:t>
            </w:r>
            <w:proofErr w:type="spellStart"/>
            <w:r w:rsidRPr="009B3662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revistës</w:t>
            </w:r>
            <w:proofErr w:type="spellEnd"/>
          </w:p>
        </w:tc>
        <w:tc>
          <w:tcPr>
            <w:tcW w:w="2661" w:type="dxa"/>
          </w:tcPr>
          <w:p w14:paraId="36F74587" w14:textId="77777777" w:rsidR="009B3662" w:rsidRPr="009B3662" w:rsidRDefault="009B3662" w:rsidP="009B36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B3662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Viti / </w:t>
            </w:r>
            <w:proofErr w:type="spellStart"/>
            <w:r w:rsidRPr="009B3662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Vëllimi</w:t>
            </w:r>
            <w:proofErr w:type="spellEnd"/>
            <w:r w:rsidRPr="009B3662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/ </w:t>
            </w:r>
            <w:proofErr w:type="spellStart"/>
            <w:r w:rsidRPr="009B3662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faqet</w:t>
            </w:r>
            <w:proofErr w:type="spellEnd"/>
          </w:p>
        </w:tc>
      </w:tr>
      <w:tr w:rsidR="009B3662" w:rsidRPr="009B3662" w14:paraId="622F889C" w14:textId="77777777" w:rsidTr="00C3326F">
        <w:tc>
          <w:tcPr>
            <w:tcW w:w="3355" w:type="dxa"/>
          </w:tcPr>
          <w:p w14:paraId="2263FB3B" w14:textId="094DB93A" w:rsidR="009B3662" w:rsidRPr="009B3662" w:rsidRDefault="009B3662" w:rsidP="009B36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9B3662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Necessity for criminal justice reform in Kosovo</w:t>
            </w:r>
          </w:p>
        </w:tc>
        <w:tc>
          <w:tcPr>
            <w:tcW w:w="3165" w:type="dxa"/>
          </w:tcPr>
          <w:p w14:paraId="70A9DD0C" w14:textId="7634545D" w:rsidR="009B3662" w:rsidRPr="009B3662" w:rsidRDefault="009B3662" w:rsidP="009B36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9B3662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UBT Conference 2020</w:t>
            </w:r>
          </w:p>
        </w:tc>
        <w:tc>
          <w:tcPr>
            <w:tcW w:w="2661" w:type="dxa"/>
          </w:tcPr>
          <w:p w14:paraId="3F9214AA" w14:textId="4E28ABA5" w:rsidR="009B3662" w:rsidRPr="009B3662" w:rsidRDefault="009B3662" w:rsidP="009B36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2020</w:t>
            </w:r>
          </w:p>
        </w:tc>
      </w:tr>
      <w:tr w:rsidR="009B3662" w:rsidRPr="009B3662" w14:paraId="0582D865" w14:textId="77777777" w:rsidTr="00C3326F">
        <w:tc>
          <w:tcPr>
            <w:tcW w:w="3355" w:type="dxa"/>
          </w:tcPr>
          <w:p w14:paraId="59255FCF" w14:textId="38355D66" w:rsidR="009B3662" w:rsidRPr="009B3662" w:rsidRDefault="009B3662" w:rsidP="009B36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9B3662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lastRenderedPageBreak/>
              <w:t>Confiscation of assets with criminal origin as a form of fight against organized crime in Kosovo</w:t>
            </w:r>
          </w:p>
        </w:tc>
        <w:tc>
          <w:tcPr>
            <w:tcW w:w="3165" w:type="dxa"/>
          </w:tcPr>
          <w:p w14:paraId="09D96FFB" w14:textId="6D2901D0" w:rsidR="009B3662" w:rsidRPr="009B3662" w:rsidRDefault="009B3662" w:rsidP="009B36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9B3662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UBT Conference 202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1</w:t>
            </w:r>
          </w:p>
        </w:tc>
        <w:tc>
          <w:tcPr>
            <w:tcW w:w="2661" w:type="dxa"/>
          </w:tcPr>
          <w:p w14:paraId="75A9933F" w14:textId="07FAD8B9" w:rsidR="009B3662" w:rsidRPr="009B3662" w:rsidRDefault="009B3662" w:rsidP="009B36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2021</w:t>
            </w:r>
          </w:p>
        </w:tc>
      </w:tr>
      <w:tr w:rsidR="009B3662" w:rsidRPr="009B3662" w14:paraId="102E744B" w14:textId="77777777" w:rsidTr="00C3326F">
        <w:tc>
          <w:tcPr>
            <w:tcW w:w="3355" w:type="dxa"/>
          </w:tcPr>
          <w:p w14:paraId="1947A828" w14:textId="1EB16BFF" w:rsidR="009B3662" w:rsidRPr="009B3662" w:rsidRDefault="009B3662" w:rsidP="009B36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9B3662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Lack of professionalism in justice system as a source of criminality</w:t>
            </w:r>
          </w:p>
        </w:tc>
        <w:tc>
          <w:tcPr>
            <w:tcW w:w="3165" w:type="dxa"/>
          </w:tcPr>
          <w:p w14:paraId="6D0AC94A" w14:textId="26682A63" w:rsidR="009B3662" w:rsidRPr="009B3662" w:rsidRDefault="009B3662" w:rsidP="009B36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9B3662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UBT Conference 2023</w:t>
            </w:r>
          </w:p>
        </w:tc>
        <w:tc>
          <w:tcPr>
            <w:tcW w:w="2661" w:type="dxa"/>
          </w:tcPr>
          <w:p w14:paraId="51D91604" w14:textId="35C090B2" w:rsidR="009B3662" w:rsidRPr="009B3662" w:rsidRDefault="009B3662" w:rsidP="009B36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2023 </w:t>
            </w:r>
          </w:p>
        </w:tc>
      </w:tr>
    </w:tbl>
    <w:p w14:paraId="4F688ADE" w14:textId="77777777" w:rsidR="008F628F" w:rsidRPr="008F628F" w:rsidRDefault="008F628F" w:rsidP="008F628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628F" w:rsidRPr="008F6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5E86B" w14:textId="77777777" w:rsidR="009B3662" w:rsidRDefault="009B3662" w:rsidP="009B3662">
      <w:pPr>
        <w:spacing w:after="0" w:line="240" w:lineRule="auto"/>
      </w:pPr>
      <w:r>
        <w:separator/>
      </w:r>
    </w:p>
  </w:endnote>
  <w:endnote w:type="continuationSeparator" w:id="0">
    <w:p w14:paraId="6F4ED3C0" w14:textId="77777777" w:rsidR="009B3662" w:rsidRDefault="009B3662" w:rsidP="009B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3EA66" w14:textId="77777777" w:rsidR="009B3662" w:rsidRDefault="009B3662" w:rsidP="009B3662">
      <w:pPr>
        <w:spacing w:after="0" w:line="240" w:lineRule="auto"/>
      </w:pPr>
      <w:r>
        <w:separator/>
      </w:r>
    </w:p>
  </w:footnote>
  <w:footnote w:type="continuationSeparator" w:id="0">
    <w:p w14:paraId="215DE690" w14:textId="77777777" w:rsidR="009B3662" w:rsidRDefault="009B3662" w:rsidP="009B3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8F"/>
    <w:rsid w:val="004A79FA"/>
    <w:rsid w:val="008F628F"/>
    <w:rsid w:val="009B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C275E"/>
  <w15:chartTrackingRefBased/>
  <w15:docId w15:val="{FA08EEC8-49B9-4039-B4F4-2B126B00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2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3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662"/>
  </w:style>
  <w:style w:type="paragraph" w:styleId="Footer">
    <w:name w:val="footer"/>
    <w:basedOn w:val="Normal"/>
    <w:link w:val="FooterChar"/>
    <w:uiPriority w:val="99"/>
    <w:unhideWhenUsed/>
    <w:rsid w:val="009B3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egzona osmanaj</dc:creator>
  <cp:keywords/>
  <dc:description/>
  <cp:lastModifiedBy>egzona osmanaj</cp:lastModifiedBy>
  <cp:revision>2</cp:revision>
  <dcterms:created xsi:type="dcterms:W3CDTF">2024-01-20T20:57:00Z</dcterms:created>
  <dcterms:modified xsi:type="dcterms:W3CDTF">2024-01-20T20:57:00Z</dcterms:modified>
</cp:coreProperties>
</file>